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3C" w:rsidRDefault="00A5373C" w:rsidP="00A5373C">
      <w:pPr>
        <w:pStyle w:val="Chapter"/>
      </w:pPr>
      <w:r w:rsidRPr="00297680">
        <w:t xml:space="preserve">Chapter 1: </w:t>
      </w:r>
    </w:p>
    <w:p w:rsidR="00A5373C" w:rsidRPr="00297680" w:rsidRDefault="00A5373C" w:rsidP="00A5373C">
      <w:pPr>
        <w:pStyle w:val="ChapterTitle"/>
      </w:pPr>
      <w:r w:rsidRPr="00297680">
        <w:t xml:space="preserve">Variances </w:t>
      </w:r>
      <w:proofErr w:type="gramStart"/>
      <w:r w:rsidRPr="00297680">
        <w:t>Amongst</w:t>
      </w:r>
      <w:proofErr w:type="gramEnd"/>
      <w:r w:rsidRPr="00297680">
        <w:t xml:space="preserve"> Texas Courts and Trial Judges</w:t>
      </w:r>
    </w:p>
    <w:p w:rsidR="00A5373C" w:rsidRPr="00297680" w:rsidRDefault="00A5373C" w:rsidP="00A5373C">
      <w:pPr>
        <w:spacing w:line="240" w:lineRule="auto"/>
        <w:rPr>
          <w:b/>
        </w:rPr>
      </w:pPr>
    </w:p>
    <w:p w:rsidR="00A5373C" w:rsidRPr="00297680" w:rsidRDefault="00A5373C" w:rsidP="00A5373C">
      <w:pPr>
        <w:pStyle w:val="HeadA"/>
      </w:pPr>
      <w:r w:rsidRPr="00297680">
        <w:t>1-1</w:t>
      </w:r>
      <w:r w:rsidRPr="00297680">
        <w:tab/>
        <w:t>INTRODUCTION</w:t>
      </w:r>
      <w:r w:rsidR="0060433D" w:rsidRPr="00297680">
        <w:rPr>
          <w:rStyle w:val="FootnoteReference"/>
        </w:rPr>
        <w:footnoteReference w:id="1"/>
      </w:r>
    </w:p>
    <w:p w:rsidR="00A5373C" w:rsidRPr="00297680" w:rsidRDefault="00A5373C" w:rsidP="00A5373C">
      <w:pPr>
        <w:spacing w:line="240" w:lineRule="auto"/>
        <w:ind w:firstLine="360"/>
        <w:contextualSpacing/>
      </w:pPr>
      <w:r w:rsidRPr="00297680">
        <w:t xml:space="preserve">Experienced trial attorneys in Texas become comfortable with the fact that certain kinds of trial procedures will vary from one state court to another. Most of the procedure and evidence topics addressed in this book apply to any kind of civil trial. To a somewhat lesser extent, with more exceptions, that is also largely true for criminal trials as well. </w:t>
      </w:r>
      <w:proofErr w:type="gramStart"/>
      <w:r w:rsidRPr="00297680">
        <w:t>But</w:t>
      </w:r>
      <w:proofErr w:type="gramEnd"/>
      <w:r w:rsidRPr="00297680">
        <w:t xml:space="preserve"> in some key respects, the differences matter. This chapter addresses the most common forms of variation between Texas courts and judges. </w:t>
      </w:r>
    </w:p>
    <w:p w:rsidR="00A5373C" w:rsidRPr="00297680" w:rsidRDefault="00A5373C" w:rsidP="00A5373C">
      <w:pPr>
        <w:spacing w:line="240" w:lineRule="auto"/>
        <w:ind w:firstLine="360"/>
        <w:contextualSpacing/>
      </w:pPr>
    </w:p>
    <w:p w:rsidR="00A5373C" w:rsidRPr="00297680" w:rsidRDefault="00A5373C" w:rsidP="00A5373C">
      <w:pPr>
        <w:pStyle w:val="HeadA"/>
      </w:pPr>
      <w:r w:rsidRPr="00297680">
        <w:t>1-2</w:t>
      </w:r>
      <w:r w:rsidRPr="00297680">
        <w:tab/>
        <w:t xml:space="preserve">VARIANCES IN JURY COMPOSITION AMONG TEXAS COURTS </w:t>
      </w:r>
    </w:p>
    <w:p w:rsidR="00A5373C" w:rsidRPr="00297680" w:rsidRDefault="00A5373C" w:rsidP="00A5373C">
      <w:pPr>
        <w:spacing w:line="240" w:lineRule="auto"/>
        <w:ind w:firstLine="360"/>
        <w:contextualSpacing/>
      </w:pPr>
      <w:r w:rsidRPr="00297680">
        <w:t>The Texas trial court system has been described as “dizzying” and consisting of “patchwork” complexity.</w:t>
      </w:r>
      <w:r w:rsidRPr="00297680">
        <w:rPr>
          <w:rStyle w:val="FootnoteReference"/>
        </w:rPr>
        <w:footnoteReference w:id="2"/>
      </w:r>
      <w:r w:rsidRPr="00297680">
        <w:t xml:space="preserve"> Lawyers trying cases in Texas trial courts must recognize that both 12-person and six-person juries are utilized. The following constitutional provisions and state statutes govern the composition of Texas state court juries in the various courts.</w:t>
      </w:r>
    </w:p>
    <w:p w:rsidR="00A5373C" w:rsidRPr="00297680" w:rsidRDefault="00A5373C" w:rsidP="00A5373C">
      <w:pPr>
        <w:spacing w:line="240" w:lineRule="auto"/>
        <w:ind w:firstLine="360"/>
        <w:contextualSpacing/>
      </w:pPr>
    </w:p>
    <w:p w:rsidR="00A5373C" w:rsidRPr="00297680" w:rsidRDefault="00A5373C" w:rsidP="00A5373C">
      <w:pPr>
        <w:pStyle w:val="HeadBNoSpace"/>
        <w:rPr>
          <w:rFonts w:eastAsia="Times New Roman"/>
        </w:rPr>
      </w:pPr>
      <w:r w:rsidRPr="00297680">
        <w:rPr>
          <w:rFonts w:eastAsia="Times New Roman"/>
        </w:rPr>
        <w:tab/>
        <w:t>1-2:1</w:t>
      </w:r>
      <w:r w:rsidRPr="00297680">
        <w:rPr>
          <w:rFonts w:eastAsia="Times New Roman"/>
        </w:rPr>
        <w:tab/>
        <w:t>Texas State District Courts</w:t>
      </w:r>
    </w:p>
    <w:p w:rsidR="00A5373C" w:rsidRPr="00297680" w:rsidRDefault="00A5373C" w:rsidP="00A5373C">
      <w:pPr>
        <w:rPr>
          <w:rFonts w:eastAsia="Times New Roman"/>
        </w:rPr>
      </w:pPr>
      <w:r w:rsidRPr="00297680">
        <w:rPr>
          <w:rFonts w:eastAsia="Times New Roman"/>
        </w:rPr>
        <w:t>The Texas Constitution sets the number of jurors that are required for a Texas state distr</w:t>
      </w:r>
      <w:r>
        <w:rPr>
          <w:rFonts w:eastAsia="Times New Roman"/>
        </w:rPr>
        <w:t xml:space="preserve">ict court at 12 (other than </w:t>
      </w:r>
      <w:proofErr w:type="spellStart"/>
      <w:proofErr w:type="gramStart"/>
      <w:r>
        <w:rPr>
          <w:rFonts w:eastAsia="Times New Roman"/>
        </w:rPr>
        <w:t>no</w:t>
      </w:r>
      <w:r w:rsidRPr="00DB5B43">
        <w:t>n felony</w:t>
      </w:r>
      <w:proofErr w:type="spellEnd"/>
      <w:proofErr w:type="gramEnd"/>
      <w:r w:rsidRPr="00DB5B43">
        <w:t xml:space="preserve"> criminal cases discussed in the next paragraph), but a verdict may be rendered by as few as nine</w:t>
      </w:r>
      <w:r w:rsidRPr="00297680">
        <w:rPr>
          <w:rFonts w:eastAsia="Times New Roman"/>
        </w:rPr>
        <w:t xml:space="preserve"> jurors in a civil case.</w:t>
      </w:r>
      <w:r w:rsidRPr="00297680">
        <w:rPr>
          <w:rStyle w:val="FootnoteReference"/>
          <w:rFonts w:eastAsia="Times New Roman"/>
        </w:rPr>
        <w:footnoteReference w:id="3"/>
      </w:r>
      <w:r w:rsidRPr="00297680">
        <w:rPr>
          <w:rFonts w:eastAsia="Times New Roman"/>
        </w:rPr>
        <w:t xml:space="preserve"> The Texas Government Code makes this a statutory right by setting the number of jurors at 12 in a Texas state district court, unless the parties agree to proceed with fewer than 12.</w:t>
      </w:r>
      <w:r w:rsidRPr="00297680">
        <w:rPr>
          <w:rStyle w:val="FootnoteReference"/>
          <w:rFonts w:eastAsia="Times New Roman"/>
        </w:rPr>
        <w:footnoteReference w:id="4"/>
      </w:r>
      <w:r w:rsidRPr="00297680">
        <w:rPr>
          <w:rFonts w:eastAsia="Times New Roman"/>
        </w:rPr>
        <w:t xml:space="preserve"> </w:t>
      </w:r>
    </w:p>
    <w:p w:rsidR="00A5373C" w:rsidRPr="00297680" w:rsidRDefault="00A5373C" w:rsidP="00A5373C">
      <w:pPr>
        <w:spacing w:line="240" w:lineRule="auto"/>
        <w:ind w:firstLine="720"/>
        <w:rPr>
          <w:rFonts w:eastAsia="Times New Roman"/>
        </w:rPr>
      </w:pPr>
      <w:r w:rsidRPr="00297680">
        <w:rPr>
          <w:rFonts w:eastAsia="Times New Roman"/>
        </w:rPr>
        <w:t>If the case is a criminal case below the grade of felony, the jury shall be composed of six persons.</w:t>
      </w:r>
      <w:r w:rsidRPr="00297680">
        <w:rPr>
          <w:rStyle w:val="FootnoteReference"/>
          <w:rFonts w:eastAsia="Times New Roman"/>
        </w:rPr>
        <w:footnoteReference w:id="5"/>
      </w:r>
      <w:r w:rsidRPr="00297680">
        <w:rPr>
          <w:rFonts w:eastAsia="Times New Roman"/>
        </w:rPr>
        <w:t xml:space="preserve"> The Texas Code of Criminal Procedure codifies the requirement that a trial involving a misdemeanor offense consist of six qualified jurors.</w:t>
      </w:r>
      <w:r w:rsidRPr="00297680">
        <w:rPr>
          <w:rStyle w:val="FootnoteReference"/>
          <w:rFonts w:eastAsia="Times New Roman"/>
        </w:rPr>
        <w:footnoteReference w:id="6"/>
      </w:r>
      <w:r w:rsidRPr="00297680">
        <w:rPr>
          <w:rFonts w:eastAsia="Times New Roman"/>
        </w:rPr>
        <w:t xml:space="preserve"> Therefore, a party to either a civil </w:t>
      </w:r>
      <w:proofErr w:type="gramStart"/>
      <w:r w:rsidRPr="00297680">
        <w:rPr>
          <w:rFonts w:eastAsia="Times New Roman"/>
        </w:rPr>
        <w:t>or criminal</w:t>
      </w:r>
      <w:proofErr w:type="gramEnd"/>
      <w:r w:rsidRPr="00297680">
        <w:rPr>
          <w:rFonts w:eastAsia="Times New Roman"/>
        </w:rPr>
        <w:t xml:space="preserve"> suit is protected by both a constitutional and statutory right to present their case to a certain number of jurors. In </w:t>
      </w:r>
      <w:r w:rsidRPr="00297680">
        <w:rPr>
          <w:rFonts w:eastAsia="Times New Roman"/>
          <w:i/>
        </w:rPr>
        <w:t>Hill v. State</w:t>
      </w:r>
      <w:r w:rsidRPr="00297680">
        <w:rPr>
          <w:rFonts w:eastAsia="Times New Roman"/>
        </w:rPr>
        <w:t>,</w:t>
      </w:r>
      <w:r w:rsidRPr="00297680">
        <w:rPr>
          <w:rStyle w:val="FootnoteReference"/>
          <w:rFonts w:eastAsia="Times New Roman"/>
        </w:rPr>
        <w:footnoteReference w:id="7"/>
      </w:r>
      <w:r w:rsidRPr="00297680">
        <w:rPr>
          <w:rFonts w:eastAsia="Times New Roman"/>
        </w:rPr>
        <w:t xml:space="preserve"> The Texas Court of Criminal Appeals stated that trial can proceed with eleven jurors in a felony case when: (1) the parties consent under section 62.201 of the Texas Government Code</w:t>
      </w:r>
      <w:r w:rsidRPr="00297680">
        <w:rPr>
          <w:rStyle w:val="FootnoteReference"/>
          <w:rFonts w:eastAsia="Times New Roman"/>
        </w:rPr>
        <w:footnoteReference w:id="8"/>
      </w:r>
      <w:r w:rsidRPr="00297680">
        <w:rPr>
          <w:rFonts w:eastAsia="Times New Roman"/>
        </w:rPr>
        <w:t xml:space="preserve">; or (2) a </w:t>
      </w:r>
      <w:r w:rsidRPr="00297680">
        <w:rPr>
          <w:rFonts w:eastAsia="Times New Roman"/>
        </w:rPr>
        <w:lastRenderedPageBreak/>
        <w:t>juror dies or becomes disabled under article 36.29(a) of the Texas</w:t>
      </w:r>
      <w:r>
        <w:rPr>
          <w:rFonts w:eastAsia="Times New Roman"/>
        </w:rPr>
        <w:t xml:space="preserve"> Criminal Procedure Code Procedure</w:t>
      </w:r>
      <w:r w:rsidRPr="00297680">
        <w:rPr>
          <w:rFonts w:eastAsia="Times New Roman"/>
        </w:rPr>
        <w:t>.</w:t>
      </w:r>
      <w:r w:rsidRPr="00297680">
        <w:rPr>
          <w:rStyle w:val="FootnoteReference"/>
          <w:rFonts w:eastAsia="Times New Roman"/>
        </w:rPr>
        <w:footnoteReference w:id="9"/>
      </w:r>
    </w:p>
    <w:p w:rsidR="00A5373C" w:rsidRPr="00297680" w:rsidRDefault="00A5373C" w:rsidP="00A5373C">
      <w:pPr>
        <w:spacing w:line="240" w:lineRule="auto"/>
        <w:rPr>
          <w:rFonts w:eastAsia="Times New Roman"/>
        </w:rPr>
      </w:pPr>
    </w:p>
    <w:p w:rsidR="00A5373C" w:rsidRPr="00297680" w:rsidRDefault="00A5373C" w:rsidP="00A5373C">
      <w:pPr>
        <w:spacing w:line="240" w:lineRule="auto"/>
        <w:contextualSpacing/>
        <w:rPr>
          <w:b/>
        </w:rPr>
      </w:pPr>
      <w:r w:rsidRPr="00297680">
        <w:rPr>
          <w:rFonts w:eastAsia="Times New Roman"/>
          <w:b/>
        </w:rPr>
        <w:tab/>
        <w:t>1-2:2</w:t>
      </w:r>
      <w:r w:rsidRPr="00297680">
        <w:rPr>
          <w:rFonts w:eastAsia="Times New Roman"/>
          <w:b/>
        </w:rPr>
        <w:tab/>
        <w:t>Texas County Courts</w:t>
      </w:r>
    </w:p>
    <w:p w:rsidR="00A5373C" w:rsidRPr="00297680" w:rsidRDefault="00A5373C" w:rsidP="00A5373C">
      <w:pPr>
        <w:spacing w:line="240" w:lineRule="auto"/>
        <w:ind w:firstLine="720"/>
        <w:contextualSpacing/>
      </w:pPr>
      <w:r w:rsidRPr="00297680">
        <w:rPr>
          <w:rFonts w:eastAsia="Times New Roman"/>
        </w:rPr>
        <w:t>The Texas Constitution sets the number of jurors for a Texas county court at six.</w:t>
      </w:r>
      <w:r w:rsidRPr="00297680">
        <w:rPr>
          <w:rStyle w:val="FootnoteReference"/>
          <w:rFonts w:eastAsia="Times New Roman"/>
        </w:rPr>
        <w:footnoteReference w:id="10"/>
      </w:r>
      <w:r w:rsidRPr="00297680">
        <w:rPr>
          <w:rFonts w:eastAsia="Times New Roman"/>
        </w:rPr>
        <w:t xml:space="preserve"> The Texas Government Code codifies that a trial in a Texas county court will consist of six jurors.</w:t>
      </w:r>
      <w:r w:rsidRPr="00297680">
        <w:rPr>
          <w:rStyle w:val="FootnoteReference"/>
          <w:rFonts w:eastAsia="Times New Roman"/>
        </w:rPr>
        <w:footnoteReference w:id="11"/>
      </w:r>
      <w:r w:rsidRPr="00297680">
        <w:rPr>
          <w:rFonts w:eastAsia="Times New Roman"/>
        </w:rPr>
        <w:t xml:space="preserve"> </w:t>
      </w:r>
    </w:p>
    <w:p w:rsidR="00A5373C" w:rsidRPr="00297680" w:rsidRDefault="00A5373C" w:rsidP="00A5373C">
      <w:pPr>
        <w:spacing w:line="240" w:lineRule="auto"/>
      </w:pPr>
    </w:p>
    <w:p w:rsidR="00A5373C" w:rsidRPr="00297680" w:rsidRDefault="00A5373C" w:rsidP="00A5373C">
      <w:pPr>
        <w:spacing w:line="240" w:lineRule="auto"/>
        <w:contextualSpacing/>
        <w:rPr>
          <w:b/>
        </w:rPr>
      </w:pPr>
      <w:r w:rsidRPr="00297680">
        <w:rPr>
          <w:rFonts w:eastAsia="Times New Roman"/>
          <w:b/>
        </w:rPr>
        <w:tab/>
        <w:t>1-2:3</w:t>
      </w:r>
      <w:r w:rsidRPr="00297680">
        <w:rPr>
          <w:rFonts w:eastAsia="Times New Roman"/>
          <w:b/>
        </w:rPr>
        <w:tab/>
        <w:t xml:space="preserve">Texas County Court </w:t>
      </w:r>
      <w:proofErr w:type="gramStart"/>
      <w:r w:rsidRPr="00297680">
        <w:rPr>
          <w:rFonts w:eastAsia="Times New Roman"/>
          <w:b/>
        </w:rPr>
        <w:t>At</w:t>
      </w:r>
      <w:proofErr w:type="gramEnd"/>
      <w:r w:rsidRPr="00297680">
        <w:rPr>
          <w:rFonts w:eastAsia="Times New Roman"/>
          <w:b/>
        </w:rPr>
        <w:t xml:space="preserve"> Law</w:t>
      </w:r>
    </w:p>
    <w:p w:rsidR="00A5373C" w:rsidRPr="00297680" w:rsidRDefault="00A5373C" w:rsidP="00A5373C">
      <w:pPr>
        <w:spacing w:line="240" w:lineRule="auto"/>
        <w:ind w:firstLine="720"/>
        <w:contextualSpacing/>
        <w:rPr>
          <w:rFonts w:eastAsia="Times New Roman"/>
        </w:rPr>
      </w:pPr>
      <w:r w:rsidRPr="00297680">
        <w:rPr>
          <w:rFonts w:eastAsia="Times New Roman"/>
        </w:rPr>
        <w:t>A jury in a Texas county court at law (also referenced generically as a statutory county court) likewise generally consists of six jurors.</w:t>
      </w:r>
      <w:r w:rsidRPr="00297680">
        <w:rPr>
          <w:rStyle w:val="FootnoteReference"/>
          <w:rFonts w:eastAsia="Times New Roman"/>
        </w:rPr>
        <w:footnoteReference w:id="12"/>
      </w:r>
      <w:r w:rsidRPr="00297680">
        <w:rPr>
          <w:rFonts w:eastAsia="Times New Roman"/>
        </w:rPr>
        <w:t xml:space="preserve"> The practice in statutory county courts must conform to that prescribed by law for county courts.</w:t>
      </w:r>
      <w:r w:rsidRPr="00297680">
        <w:rPr>
          <w:rStyle w:val="FootnoteReference"/>
          <w:rFonts w:eastAsia="Times New Roman"/>
        </w:rPr>
        <w:footnoteReference w:id="13"/>
      </w:r>
      <w:r w:rsidRPr="00297680">
        <w:rPr>
          <w:rFonts w:eastAsia="Times New Roman"/>
        </w:rPr>
        <w:t xml:space="preserve"> However, the statute containing the particular provisions of the individual county court at law may call for 12 jurors. For example, the provisions for the Austin County Courts at Law provide that the jury shall be composed of 12 members for any family law case tried before a jury.</w:t>
      </w:r>
      <w:r w:rsidRPr="00297680">
        <w:rPr>
          <w:rStyle w:val="FootnoteReference"/>
          <w:rFonts w:eastAsia="Times New Roman"/>
        </w:rPr>
        <w:footnoteReference w:id="14"/>
      </w:r>
      <w:r w:rsidRPr="00297680">
        <w:rPr>
          <w:rFonts w:eastAsia="Times New Roman"/>
        </w:rPr>
        <w:t xml:space="preserve"> </w:t>
      </w:r>
    </w:p>
    <w:p w:rsidR="00A5373C" w:rsidRPr="00297680" w:rsidRDefault="00A5373C" w:rsidP="00A5373C">
      <w:pPr>
        <w:spacing w:line="240" w:lineRule="auto"/>
        <w:ind w:firstLine="720"/>
        <w:contextualSpacing/>
      </w:pPr>
    </w:p>
    <w:p w:rsidR="00A5373C" w:rsidRPr="00297680" w:rsidRDefault="00A5373C" w:rsidP="00A5373C">
      <w:pPr>
        <w:spacing w:line="240" w:lineRule="auto"/>
        <w:contextualSpacing/>
        <w:rPr>
          <w:b/>
        </w:rPr>
      </w:pPr>
      <w:r w:rsidRPr="00297680">
        <w:rPr>
          <w:rFonts w:eastAsia="Times New Roman"/>
          <w:b/>
        </w:rPr>
        <w:tab/>
        <w:t>1-2:4</w:t>
      </w:r>
      <w:r w:rsidRPr="00297680">
        <w:rPr>
          <w:rFonts w:eastAsia="Times New Roman"/>
          <w:b/>
        </w:rPr>
        <w:tab/>
        <w:t>Texas Statutory Probate Courts</w:t>
      </w:r>
    </w:p>
    <w:p w:rsidR="00A5373C" w:rsidRPr="00297680" w:rsidRDefault="00A5373C" w:rsidP="00A5373C">
      <w:pPr>
        <w:spacing w:line="240" w:lineRule="auto"/>
        <w:ind w:firstLine="720"/>
        <w:contextualSpacing/>
        <w:rPr>
          <w:rFonts w:eastAsia="Times New Roman"/>
        </w:rPr>
      </w:pPr>
      <w:r w:rsidRPr="00297680">
        <w:rPr>
          <w:rFonts w:eastAsia="Times New Roman"/>
        </w:rPr>
        <w:t xml:space="preserve">The practice and procedure of Texas statutory probate courts must conform to that prescribed by law for county courts, except that the </w:t>
      </w:r>
      <w:proofErr w:type="gramStart"/>
      <w:r w:rsidRPr="00297680">
        <w:rPr>
          <w:rFonts w:eastAsia="Times New Roman"/>
        </w:rPr>
        <w:t>practice and procedure, including the number of jurors, of statutory probate courts involving those matters of concurrent jurisdiction with district courts are governed by the laws and rules pertaining to</w:t>
      </w:r>
      <w:proofErr w:type="gramEnd"/>
      <w:r w:rsidRPr="00297680">
        <w:rPr>
          <w:rFonts w:eastAsia="Times New Roman"/>
        </w:rPr>
        <w:t xml:space="preserve"> district courts.</w:t>
      </w:r>
      <w:r w:rsidRPr="00297680">
        <w:rPr>
          <w:rStyle w:val="FootnoteReference"/>
          <w:rFonts w:eastAsia="Times New Roman"/>
        </w:rPr>
        <w:footnoteReference w:id="15"/>
      </w:r>
      <w:r w:rsidRPr="00297680">
        <w:rPr>
          <w:rFonts w:eastAsia="Times New Roman"/>
        </w:rPr>
        <w:t xml:space="preserve"> This means that the number of jurors in a statutory probate court will </w:t>
      </w:r>
      <w:r>
        <w:rPr>
          <w:rFonts w:eastAsia="Times New Roman"/>
        </w:rPr>
        <w:t>be either</w:t>
      </w:r>
      <w:r w:rsidRPr="00297680">
        <w:rPr>
          <w:rFonts w:eastAsia="Times New Roman"/>
        </w:rPr>
        <w:t xml:space="preserve"> six or 12 depending on whether it is exercising exclusive or concurrent jurisdiction. If a statutory probate court is exercising its exclusive jurisdiction, then it has a jury of six. However, when a statutory probate court has concurrent jurisdiction with a district court, then the jury must have 12 members. When the probate court is presiding over matters within both its exclusive and its concurrent jurisdiction, a party is entitled to a jury of 12.</w:t>
      </w:r>
      <w:r w:rsidRPr="00297680">
        <w:rPr>
          <w:rStyle w:val="FootnoteReference"/>
          <w:rFonts w:eastAsia="Times New Roman"/>
        </w:rPr>
        <w:footnoteReference w:id="16"/>
      </w:r>
    </w:p>
    <w:p w:rsidR="00A5373C" w:rsidRPr="00297680" w:rsidRDefault="00A5373C" w:rsidP="00A5373C">
      <w:pPr>
        <w:spacing w:line="240" w:lineRule="auto"/>
        <w:ind w:firstLine="720"/>
        <w:contextualSpacing/>
        <w:rPr>
          <w:rFonts w:eastAsia="Times New Roman"/>
        </w:rPr>
      </w:pPr>
    </w:p>
    <w:p w:rsidR="00A5373C" w:rsidRPr="00297680" w:rsidRDefault="00A5373C" w:rsidP="00A5373C">
      <w:pPr>
        <w:spacing w:line="240" w:lineRule="auto"/>
        <w:contextualSpacing/>
        <w:rPr>
          <w:b/>
        </w:rPr>
      </w:pPr>
      <w:r w:rsidRPr="00297680">
        <w:rPr>
          <w:rFonts w:eastAsia="Times New Roman"/>
          <w:b/>
        </w:rPr>
        <w:tab/>
        <w:t>1-2:5</w:t>
      </w:r>
      <w:r w:rsidRPr="00297680">
        <w:rPr>
          <w:rFonts w:eastAsia="Times New Roman"/>
          <w:b/>
        </w:rPr>
        <w:tab/>
        <w:t>Texas Justice Courts</w:t>
      </w:r>
    </w:p>
    <w:p w:rsidR="00A5373C" w:rsidRPr="00297680" w:rsidRDefault="00A5373C" w:rsidP="00A5373C">
      <w:pPr>
        <w:spacing w:line="240" w:lineRule="auto"/>
        <w:ind w:firstLine="720"/>
        <w:contextualSpacing/>
        <w:rPr>
          <w:rFonts w:eastAsia="Times New Roman"/>
        </w:rPr>
      </w:pPr>
      <w:r w:rsidRPr="00297680">
        <w:rPr>
          <w:rFonts w:eastAsia="Times New Roman"/>
        </w:rPr>
        <w:t>The jury in Texas justice courts is composed of six members.</w:t>
      </w:r>
      <w:r w:rsidRPr="00297680">
        <w:rPr>
          <w:rStyle w:val="FootnoteReference"/>
          <w:rFonts w:eastAsia="Times New Roman"/>
        </w:rPr>
        <w:footnoteReference w:id="17"/>
      </w:r>
      <w:r w:rsidRPr="00297680">
        <w:rPr>
          <w:rFonts w:eastAsia="Times New Roman"/>
        </w:rPr>
        <w:t xml:space="preserve"> </w:t>
      </w:r>
    </w:p>
    <w:p w:rsidR="00A5373C" w:rsidRPr="00297680" w:rsidRDefault="00A5373C" w:rsidP="00A5373C">
      <w:pPr>
        <w:spacing w:line="240" w:lineRule="auto"/>
        <w:contextualSpacing/>
        <w:rPr>
          <w:rFonts w:eastAsia="Times New Roman"/>
        </w:rPr>
      </w:pPr>
    </w:p>
    <w:p w:rsidR="00A5373C" w:rsidRPr="00297680" w:rsidRDefault="00A5373C" w:rsidP="00A5373C">
      <w:pPr>
        <w:spacing w:line="240" w:lineRule="auto"/>
        <w:contextualSpacing/>
        <w:rPr>
          <w:rFonts w:eastAsia="Times New Roman"/>
          <w:b/>
        </w:rPr>
      </w:pPr>
      <w:r w:rsidRPr="00297680">
        <w:rPr>
          <w:rFonts w:eastAsia="Times New Roman"/>
          <w:b/>
        </w:rPr>
        <w:tab/>
        <w:t>1-2:6</w:t>
      </w:r>
      <w:r w:rsidRPr="00297680">
        <w:rPr>
          <w:rFonts w:eastAsia="Times New Roman"/>
          <w:b/>
        </w:rPr>
        <w:tab/>
      </w:r>
      <w:proofErr w:type="gramStart"/>
      <w:r w:rsidRPr="00297680">
        <w:rPr>
          <w:rFonts w:eastAsia="Times New Roman"/>
          <w:b/>
        </w:rPr>
        <w:t>Agreement</w:t>
      </w:r>
      <w:proofErr w:type="gramEnd"/>
      <w:r w:rsidRPr="00297680">
        <w:rPr>
          <w:rFonts w:eastAsia="Times New Roman"/>
          <w:b/>
        </w:rPr>
        <w:t xml:space="preserve"> of the Parties to Proceed With a Smaller Jury</w:t>
      </w:r>
    </w:p>
    <w:p w:rsidR="00A5373C" w:rsidRPr="00297680" w:rsidRDefault="00A5373C" w:rsidP="00A5373C">
      <w:pPr>
        <w:spacing w:line="240" w:lineRule="auto"/>
        <w:ind w:firstLine="360"/>
        <w:rPr>
          <w:rFonts w:eastAsia="Times New Roman"/>
        </w:rPr>
      </w:pPr>
      <w:r w:rsidRPr="00297680">
        <w:rPr>
          <w:rFonts w:eastAsia="Times New Roman"/>
        </w:rPr>
        <w:t>In district courts, Section 62.201 of the Texas Government Code permits parties to agree to proceed with fewer than 12 jurors.</w:t>
      </w:r>
      <w:r w:rsidRPr="00297680">
        <w:rPr>
          <w:rStyle w:val="FootnoteReference"/>
          <w:rFonts w:eastAsia="Times New Roman"/>
        </w:rPr>
        <w:footnoteReference w:id="18"/>
      </w:r>
      <w:r w:rsidRPr="00297680">
        <w:rPr>
          <w:rFonts w:eastAsia="Times New Roman"/>
        </w:rPr>
        <w:t xml:space="preserve"> The parties to a civil case may agree to continue to try a case with less than 12 jurors (or the court without consent of the parties may order the case to proceed to verdict after loss of a juror to death or disability).</w:t>
      </w:r>
      <w:r w:rsidRPr="00297680">
        <w:rPr>
          <w:rStyle w:val="FootnoteReference"/>
          <w:rFonts w:eastAsia="Times New Roman"/>
        </w:rPr>
        <w:footnoteReference w:id="19"/>
      </w:r>
      <w:r w:rsidRPr="00297680">
        <w:rPr>
          <w:rFonts w:eastAsia="Times New Roman"/>
        </w:rPr>
        <w:t xml:space="preserve"> Section 62.201 applies to both civil and criminal trials.</w:t>
      </w:r>
      <w:r w:rsidRPr="00297680">
        <w:rPr>
          <w:rStyle w:val="FootnoteReference"/>
          <w:rFonts w:eastAsia="Times New Roman"/>
        </w:rPr>
        <w:footnoteReference w:id="20"/>
      </w:r>
      <w:r w:rsidRPr="00297680">
        <w:rPr>
          <w:rFonts w:eastAsia="Times New Roman"/>
        </w:rPr>
        <w:t xml:space="preserve"> </w:t>
      </w:r>
    </w:p>
    <w:p w:rsidR="00A5373C" w:rsidRPr="00297680" w:rsidRDefault="00A5373C" w:rsidP="00A5373C">
      <w:pPr>
        <w:spacing w:line="240" w:lineRule="auto"/>
        <w:ind w:firstLine="360"/>
        <w:rPr>
          <w:rFonts w:eastAsia="Times New Roman"/>
        </w:rPr>
      </w:pPr>
      <w:r w:rsidRPr="00297680">
        <w:rPr>
          <w:rFonts w:eastAsia="Times New Roman"/>
        </w:rPr>
        <w:t>To establish an agreement under Section 62.201 of the Texas Government Code, the record must affirmatively establish the agreement of the parties to try the case with fewer than 12 jurors.</w:t>
      </w:r>
      <w:r w:rsidRPr="00297680">
        <w:rPr>
          <w:rStyle w:val="FootnoteReference"/>
          <w:rFonts w:eastAsia="Times New Roman"/>
        </w:rPr>
        <w:footnoteReference w:id="21"/>
      </w:r>
      <w:r w:rsidR="0060433D">
        <w:rPr>
          <w:rFonts w:eastAsia="Times New Roman"/>
        </w:rPr>
        <w:t xml:space="preserve"> A pre</w:t>
      </w:r>
      <w:r w:rsidRPr="00297680">
        <w:rPr>
          <w:rFonts w:eastAsia="Times New Roman"/>
        </w:rPr>
        <w:t xml:space="preserve">trial </w:t>
      </w:r>
      <w:proofErr w:type="gramStart"/>
      <w:r w:rsidRPr="00297680">
        <w:rPr>
          <w:rFonts w:eastAsia="Times New Roman"/>
        </w:rPr>
        <w:lastRenderedPageBreak/>
        <w:t>agreement</w:t>
      </w:r>
      <w:proofErr w:type="gramEnd"/>
      <w:r w:rsidRPr="00297680">
        <w:rPr>
          <w:rFonts w:eastAsia="Times New Roman"/>
        </w:rPr>
        <w:t xml:space="preserve"> and a failure to object to size of the jury until after verdict waives right to a 12-person jury.</w:t>
      </w:r>
      <w:r w:rsidRPr="00297680">
        <w:rPr>
          <w:rStyle w:val="FootnoteReference"/>
          <w:rFonts w:eastAsia="Times New Roman"/>
        </w:rPr>
        <w:footnoteReference w:id="22"/>
      </w:r>
      <w:r w:rsidRPr="00297680">
        <w:rPr>
          <w:rFonts w:eastAsia="Times New Roman"/>
        </w:rPr>
        <w:t xml:space="preserve"> </w:t>
      </w:r>
    </w:p>
    <w:p w:rsidR="00A5373C" w:rsidRPr="00297680" w:rsidRDefault="00A5373C" w:rsidP="00A5373C">
      <w:pPr>
        <w:spacing w:line="240" w:lineRule="auto"/>
        <w:ind w:firstLine="360"/>
        <w:contextualSpacing/>
        <w:rPr>
          <w:rFonts w:eastAsia="Times New Roman"/>
        </w:rPr>
      </w:pPr>
      <w:r w:rsidRPr="00297680">
        <w:rPr>
          <w:rFonts w:eastAsia="Times New Roman"/>
        </w:rPr>
        <w:t xml:space="preserve">Section 62.201 of the Texas Government Code does not apply to county and justice courts. </w:t>
      </w:r>
      <w:r>
        <w:rPr>
          <w:rFonts w:eastAsia="Times New Roman"/>
        </w:rPr>
        <w:t>Instead, Texas Government Code Section</w:t>
      </w:r>
      <w:r w:rsidRPr="00297680">
        <w:rPr>
          <w:rFonts w:eastAsia="Times New Roman"/>
        </w:rPr>
        <w:t xml:space="preserve"> 62.301 applies, and that statute does not expressly say that the parties can agree to have fewer jurors than the six required</w:t>
      </w:r>
      <w:r w:rsidRPr="00297680">
        <w:rPr>
          <w:rFonts w:eastAsia="Times New Roman"/>
          <w:b/>
        </w:rPr>
        <w:t xml:space="preserve"> </w:t>
      </w:r>
      <w:r w:rsidRPr="00297680">
        <w:rPr>
          <w:rFonts w:eastAsia="Times New Roman"/>
        </w:rPr>
        <w:t>in</w:t>
      </w:r>
      <w:r w:rsidRPr="00297680">
        <w:rPr>
          <w:rFonts w:eastAsia="Times New Roman"/>
          <w:b/>
        </w:rPr>
        <w:t xml:space="preserve"> </w:t>
      </w:r>
      <w:r w:rsidRPr="00297680">
        <w:rPr>
          <w:rFonts w:eastAsia="Times New Roman"/>
        </w:rPr>
        <w:t xml:space="preserve">county and justice courts. </w:t>
      </w:r>
    </w:p>
    <w:p w:rsidR="00A5373C" w:rsidRPr="00297680" w:rsidRDefault="00A5373C" w:rsidP="00A5373C">
      <w:pPr>
        <w:spacing w:line="240" w:lineRule="auto"/>
        <w:ind w:firstLine="360"/>
        <w:contextualSpacing/>
        <w:rPr>
          <w:rFonts w:eastAsia="Times New Roman"/>
        </w:rPr>
      </w:pPr>
      <w:r w:rsidRPr="00297680">
        <w:rPr>
          <w:rFonts w:eastAsia="Times New Roman"/>
        </w:rPr>
        <w:t xml:space="preserve">However, the Texas Court of Criminal Appeals has said that the failure of Section 62.301 </w:t>
      </w:r>
      <w:proofErr w:type="gramStart"/>
      <w:r w:rsidRPr="00297680">
        <w:rPr>
          <w:rFonts w:eastAsia="Times New Roman"/>
        </w:rPr>
        <w:t>to specifically authorize</w:t>
      </w:r>
      <w:proofErr w:type="gramEnd"/>
      <w:r w:rsidRPr="00297680">
        <w:rPr>
          <w:rFonts w:eastAsia="Times New Roman"/>
        </w:rPr>
        <w:t xml:space="preserve"> the parties in county court to consent to a jury of fewer than six members does not mean that such an alternative is forbidden.</w:t>
      </w:r>
      <w:r w:rsidRPr="00297680">
        <w:rPr>
          <w:rStyle w:val="FootnoteReference"/>
          <w:rFonts w:eastAsia="Times New Roman"/>
        </w:rPr>
        <w:footnoteReference w:id="23"/>
      </w:r>
      <w:r w:rsidRPr="00297680">
        <w:rPr>
          <w:rFonts w:eastAsia="Times New Roman"/>
        </w:rPr>
        <w:t xml:space="preserve"> In </w:t>
      </w:r>
      <w:r w:rsidRPr="00297680">
        <w:rPr>
          <w:rFonts w:eastAsia="Times New Roman"/>
          <w:i/>
        </w:rPr>
        <w:t>Garza</w:t>
      </w:r>
      <w:r w:rsidRPr="00297680">
        <w:rPr>
          <w:rFonts w:eastAsia="Times New Roman"/>
        </w:rPr>
        <w:t xml:space="preserve">, the Court held that parties in county court had the implicit power to consent to a jury of less than six members. </w:t>
      </w:r>
    </w:p>
    <w:p w:rsidR="00A5373C" w:rsidRPr="00297680" w:rsidRDefault="00A5373C" w:rsidP="00A5373C">
      <w:pPr>
        <w:spacing w:line="240" w:lineRule="auto"/>
        <w:ind w:firstLine="360"/>
        <w:contextualSpacing/>
      </w:pPr>
      <w:r w:rsidRPr="00297680">
        <w:rPr>
          <w:rFonts w:eastAsia="Times New Roman"/>
        </w:rPr>
        <w:t xml:space="preserve">While there are no civil cases on this topic, it appears that similar reasoning would allow parties to consent to less than six jurors in civil cases (in county and justice courts) as long as the court agreed. Some county court at law provisions specifically allow fewer than six jurors. </w:t>
      </w:r>
      <w:proofErr w:type="gramStart"/>
      <w:r w:rsidRPr="00297680">
        <w:rPr>
          <w:rFonts w:eastAsia="Times New Roman"/>
        </w:rPr>
        <w:t xml:space="preserve">For example, the statute applicable to the </w:t>
      </w:r>
      <w:r w:rsidRPr="00297680">
        <w:rPr>
          <w:rFonts w:eastAsia="Times New Roman"/>
          <w:color w:val="252525"/>
        </w:rPr>
        <w:t xml:space="preserve">Gregg County Court at Law </w:t>
      </w:r>
      <w:r w:rsidRPr="00297680">
        <w:rPr>
          <w:rFonts w:eastAsia="Times New Roman"/>
        </w:rPr>
        <w:t>says, “In a civil case tried in a county court at law, the parties may, by mutual agreement and with the consent of the judge, agree to try the case with any number of jurors and have a verdict rendered and returned by the vote of any number of those jurors that is less than the total number of jurors.”</w:t>
      </w:r>
      <w:r w:rsidRPr="00297680">
        <w:rPr>
          <w:rStyle w:val="FootnoteReference"/>
          <w:rFonts w:eastAsia="Times New Roman"/>
        </w:rPr>
        <w:footnoteReference w:id="24"/>
      </w:r>
      <w:proofErr w:type="gramEnd"/>
      <w:r w:rsidRPr="00297680">
        <w:rPr>
          <w:rFonts w:eastAsia="Times New Roman"/>
        </w:rPr>
        <w:t xml:space="preserve"> </w:t>
      </w:r>
    </w:p>
    <w:p w:rsidR="00A5373C" w:rsidRPr="00297680" w:rsidRDefault="00A5373C" w:rsidP="00A5373C">
      <w:pPr>
        <w:spacing w:line="240" w:lineRule="auto"/>
        <w:contextualSpacing/>
        <w:rPr>
          <w:rFonts w:eastAsia="Times New Roman"/>
          <w:b/>
        </w:rPr>
      </w:pPr>
    </w:p>
    <w:p w:rsidR="00A5373C" w:rsidRPr="00297680" w:rsidRDefault="00A5373C" w:rsidP="00A5373C">
      <w:pPr>
        <w:spacing w:line="240" w:lineRule="auto"/>
        <w:contextualSpacing/>
        <w:rPr>
          <w:b/>
        </w:rPr>
      </w:pPr>
      <w:r w:rsidRPr="00297680">
        <w:rPr>
          <w:b/>
        </w:rPr>
        <w:t>1-3</w:t>
      </w:r>
      <w:r w:rsidRPr="00297680">
        <w:rPr>
          <w:b/>
        </w:rPr>
        <w:tab/>
        <w:t>VARIANCES IN LOCAL RULES</w:t>
      </w:r>
    </w:p>
    <w:p w:rsidR="00A5373C" w:rsidRPr="00297680" w:rsidRDefault="00A5373C" w:rsidP="00A5373C">
      <w:pPr>
        <w:spacing w:line="240" w:lineRule="auto"/>
        <w:ind w:firstLine="720"/>
        <w:contextualSpacing/>
      </w:pPr>
      <w:r w:rsidRPr="00297680">
        <w:rPr>
          <w:i/>
        </w:rPr>
        <w:t>Check for local rules of the court in which your case is set for trial</w:t>
      </w:r>
      <w:r w:rsidRPr="00297680">
        <w:t>. It is extremely common for local rules</w:t>
      </w:r>
      <w:r>
        <w:t>–</w:t>
      </w:r>
      <w:r w:rsidRPr="00297680">
        <w:t>applicable only to specific courts or to</w:t>
      </w:r>
      <w:r>
        <w:t xml:space="preserve"> all courts in a given county–</w:t>
      </w:r>
      <w:r w:rsidRPr="00297680">
        <w:t>to provide specified procedures for litigation in addition to those provided by the Texas Rules of Civil Procedure and various state statutes.</w:t>
      </w:r>
    </w:p>
    <w:p w:rsidR="00A5373C" w:rsidRPr="00297680" w:rsidRDefault="00A5373C" w:rsidP="00A5373C">
      <w:pPr>
        <w:spacing w:line="240" w:lineRule="auto"/>
        <w:ind w:firstLine="720"/>
        <w:contextualSpacing/>
      </w:pPr>
    </w:p>
    <w:p w:rsidR="00A5373C" w:rsidRPr="00297680" w:rsidRDefault="00A5373C" w:rsidP="00A5373C">
      <w:pPr>
        <w:spacing w:line="240" w:lineRule="auto"/>
        <w:contextualSpacing/>
        <w:rPr>
          <w:b/>
        </w:rPr>
      </w:pPr>
      <w:r w:rsidRPr="00297680">
        <w:rPr>
          <w:rFonts w:eastAsia="Times New Roman"/>
          <w:b/>
        </w:rPr>
        <w:t>1-3:1</w:t>
      </w:r>
      <w:r w:rsidRPr="00297680">
        <w:rPr>
          <w:rFonts w:eastAsia="Times New Roman"/>
          <w:b/>
        </w:rPr>
        <w:tab/>
        <w:t>Methods of Publication by Various Counties and Courts</w:t>
      </w:r>
    </w:p>
    <w:p w:rsidR="00A5373C" w:rsidRPr="00297680" w:rsidRDefault="00A5373C" w:rsidP="00A5373C">
      <w:proofErr w:type="gramStart"/>
      <w:r w:rsidRPr="00297680">
        <w:rPr>
          <w:rFonts w:eastAsia="Times New Roman"/>
        </w:rPr>
        <w:t>In general, each administrative judicial region and the state courts residing therein are vested with</w:t>
      </w:r>
      <w:r>
        <w:rPr>
          <w:rFonts w:eastAsia="Times New Roman"/>
        </w:rPr>
        <w:t xml:space="preserve"> the authority to create, adopt</w:t>
      </w:r>
      <w:r w:rsidRPr="00297680">
        <w:rPr>
          <w:rFonts w:eastAsia="Times New Roman"/>
        </w:rPr>
        <w:t xml:space="preserve"> or otherwise modify their local rules so long as such rules remain consistent with the Texas Rules of Civil Procedure and publication is provided in a manner “reasonably calculated to bring it to the attention of attorneys practicing before the courts.”</w:t>
      </w:r>
      <w:r w:rsidRPr="00297680">
        <w:rPr>
          <w:rStyle w:val="FootnoteReference"/>
          <w:rFonts w:eastAsia="Times New Roman"/>
        </w:rPr>
        <w:footnoteReference w:id="25"/>
      </w:r>
      <w:proofErr w:type="gramEnd"/>
      <w:r w:rsidRPr="00297680">
        <w:rPr>
          <w:rFonts w:eastAsia="Times New Roman"/>
        </w:rPr>
        <w:t xml:space="preserve"> Although Texas state courts </w:t>
      </w:r>
      <w:proofErr w:type="gramStart"/>
      <w:r w:rsidRPr="00297680">
        <w:rPr>
          <w:rFonts w:eastAsia="Times New Roman"/>
        </w:rPr>
        <w:t>are mandated</w:t>
      </w:r>
      <w:proofErr w:type="gramEnd"/>
      <w:r w:rsidRPr="00297680">
        <w:rPr>
          <w:rFonts w:eastAsia="Times New Roman"/>
        </w:rPr>
        <w:t xml:space="preserve"> to “publish” local rules, the visiting attorney is ultimately responsible for both maintaining awareness and abiding by the court’s standard protocol.</w:t>
      </w:r>
      <w:r w:rsidRPr="00297680">
        <w:rPr>
          <w:rStyle w:val="FootnoteReference"/>
          <w:rFonts w:eastAsia="Times New Roman"/>
        </w:rPr>
        <w:footnoteReference w:id="26"/>
      </w:r>
      <w:r w:rsidRPr="00297680">
        <w:rPr>
          <w:rFonts w:eastAsia="Times New Roman"/>
        </w:rPr>
        <w:t xml:space="preserve"> As a result, a state court’s method for making its local rules available for review is of paramount importance to a visiting attorney’s preparation for trial. </w:t>
      </w:r>
    </w:p>
    <w:p w:rsidR="00A5373C" w:rsidRPr="00297680" w:rsidRDefault="00A5373C" w:rsidP="00A5373C">
      <w:pPr>
        <w:spacing w:line="240" w:lineRule="auto"/>
        <w:contextualSpacing/>
        <w:rPr>
          <w:rFonts w:eastAsia="Times New Roman"/>
        </w:rPr>
      </w:pPr>
      <w:r w:rsidRPr="00297680">
        <w:rPr>
          <w:rFonts w:eastAsia="Times New Roman"/>
        </w:rPr>
        <w:tab/>
        <w:t>A state court’s method for making local rules available can vary from simply charging a visiting attorney with constructive knowledge to actually providing members of the state bar with a written copy upon request.</w:t>
      </w:r>
      <w:r w:rsidRPr="00297680">
        <w:rPr>
          <w:rStyle w:val="FootnoteReference"/>
          <w:rFonts w:eastAsia="Times New Roman"/>
        </w:rPr>
        <w:footnoteReference w:id="27"/>
      </w:r>
      <w:r w:rsidRPr="00297680">
        <w:rPr>
          <w:rFonts w:eastAsia="Times New Roman"/>
        </w:rPr>
        <w:t xml:space="preserve"> For example, Brazos County provides that once the local rules have received approval and ratification by the Supreme Court then copies shall be “published and made available to members of the Bar and the public.”</w:t>
      </w:r>
      <w:r w:rsidRPr="00297680">
        <w:rPr>
          <w:rStyle w:val="FootnoteReference"/>
          <w:rFonts w:eastAsia="Times New Roman"/>
        </w:rPr>
        <w:footnoteReference w:id="28"/>
      </w:r>
      <w:r w:rsidRPr="00297680">
        <w:rPr>
          <w:rFonts w:eastAsia="Times New Roman"/>
        </w:rPr>
        <w:t xml:space="preserve"> Bowie County provides that its local rules shall be “printed and published in loose-leaf form” and “shall at all times be available through the District Clerk’s office.”</w:t>
      </w:r>
      <w:r w:rsidRPr="00297680">
        <w:rPr>
          <w:rStyle w:val="FootnoteReference"/>
          <w:rFonts w:eastAsia="Times New Roman"/>
        </w:rPr>
        <w:footnoteReference w:id="29"/>
      </w:r>
      <w:r w:rsidRPr="00297680">
        <w:rPr>
          <w:rFonts w:eastAsia="Times New Roman"/>
        </w:rPr>
        <w:t xml:space="preserve"> </w:t>
      </w:r>
    </w:p>
    <w:p w:rsidR="00A5373C" w:rsidRPr="00297680" w:rsidRDefault="00A5373C" w:rsidP="00A5373C">
      <w:pPr>
        <w:spacing w:line="240" w:lineRule="auto"/>
        <w:contextualSpacing/>
      </w:pPr>
    </w:p>
    <w:p w:rsidR="00A5373C" w:rsidRPr="00297680" w:rsidRDefault="00A5373C" w:rsidP="00A5373C">
      <w:pPr>
        <w:spacing w:line="240" w:lineRule="auto"/>
        <w:contextualSpacing/>
        <w:rPr>
          <w:b/>
        </w:rPr>
      </w:pPr>
      <w:r w:rsidRPr="00297680">
        <w:rPr>
          <w:rFonts w:eastAsia="Times New Roman"/>
          <w:b/>
        </w:rPr>
        <w:tab/>
        <w:t>1-3:2</w:t>
      </w:r>
      <w:r w:rsidRPr="00297680">
        <w:rPr>
          <w:rFonts w:eastAsia="Times New Roman"/>
          <w:b/>
        </w:rPr>
        <w:tab/>
        <w:t xml:space="preserve">Statewide </w:t>
      </w:r>
      <w:proofErr w:type="gramStart"/>
      <w:r w:rsidRPr="00297680">
        <w:rPr>
          <w:rFonts w:eastAsia="Times New Roman"/>
          <w:b/>
        </w:rPr>
        <w:t>Source</w:t>
      </w:r>
      <w:proofErr w:type="gramEnd"/>
      <w:r w:rsidRPr="00297680">
        <w:rPr>
          <w:rFonts w:eastAsia="Times New Roman"/>
          <w:b/>
        </w:rPr>
        <w:t xml:space="preserve"> Available With Compilation of All Local Rules</w:t>
      </w:r>
    </w:p>
    <w:p w:rsidR="00A5373C" w:rsidRPr="00297680" w:rsidRDefault="00A5373C" w:rsidP="00A5373C">
      <w:pPr>
        <w:spacing w:line="240" w:lineRule="auto"/>
        <w:contextualSpacing/>
        <w:rPr>
          <w:rFonts w:eastAsia="Times New Roman"/>
          <w:b/>
        </w:rPr>
      </w:pPr>
      <w:r w:rsidRPr="00297680">
        <w:rPr>
          <w:rFonts w:eastAsia="Times New Roman"/>
          <w:b/>
        </w:rPr>
        <w:tab/>
      </w:r>
      <w:r w:rsidRPr="00297680">
        <w:rPr>
          <w:rFonts w:eastAsia="Times New Roman"/>
        </w:rPr>
        <w:t xml:space="preserve">In late 2010, the Texas Supreme Court website completed an updated analysis of state court local </w:t>
      </w:r>
      <w:r w:rsidRPr="00297680">
        <w:rPr>
          <w:rFonts w:eastAsia="Times New Roman"/>
        </w:rPr>
        <w:lastRenderedPageBreak/>
        <w:t>rules and concluded that, as of that date, a total of 206 out of Texas’ 254 counties have adopted specific governing local rules. Prior to 2010, many of the local rules submitted to the Supreme Court by counties were “buried in files only available at the Texas Supreme Court.”</w:t>
      </w:r>
      <w:r w:rsidRPr="00297680">
        <w:rPr>
          <w:rStyle w:val="FootnoteReference"/>
          <w:rFonts w:eastAsia="Times New Roman"/>
        </w:rPr>
        <w:footnoteReference w:id="30"/>
      </w:r>
    </w:p>
    <w:p w:rsidR="00A5373C" w:rsidRPr="00297680" w:rsidRDefault="00A5373C" w:rsidP="00A5373C">
      <w:pPr>
        <w:spacing w:line="240" w:lineRule="auto"/>
        <w:ind w:firstLine="720"/>
        <w:contextualSpacing/>
      </w:pPr>
      <w:r w:rsidRPr="00297680">
        <w:rPr>
          <w:rFonts w:eastAsia="Times New Roman"/>
        </w:rPr>
        <w:t>The Texas Supreme Court has now established a statewide compilation of local rules categorized according to county via its</w:t>
      </w:r>
      <w:r>
        <w:rPr>
          <w:rFonts w:eastAsia="Times New Roman"/>
        </w:rPr>
        <w:t xml:space="preserve"> online webpage. Although a </w:t>
      </w:r>
      <w:proofErr w:type="spellStart"/>
      <w:proofErr w:type="gramStart"/>
      <w:r>
        <w:rPr>
          <w:rFonts w:eastAsia="Times New Roman"/>
        </w:rPr>
        <w:t xml:space="preserve">non </w:t>
      </w:r>
      <w:r w:rsidRPr="00297680">
        <w:rPr>
          <w:rFonts w:eastAsia="Times New Roman"/>
        </w:rPr>
        <w:t>exhaustive</w:t>
      </w:r>
      <w:proofErr w:type="spellEnd"/>
      <w:proofErr w:type="gramEnd"/>
      <w:r w:rsidRPr="00297680">
        <w:rPr>
          <w:rFonts w:eastAsia="Times New Roman"/>
        </w:rPr>
        <w:t xml:space="preserve"> list, this online resource contains all local rules that are formally reviewed and adopted by the Supreme Court. Notably, the website expressly states that it does not include “standing orders or other local provisions” that have not been previously reviewed or approved by the Supreme Court.</w:t>
      </w:r>
      <w:r w:rsidRPr="00297680">
        <w:rPr>
          <w:rStyle w:val="FootnoteReference"/>
          <w:rFonts w:eastAsia="Times New Roman"/>
        </w:rPr>
        <w:footnoteReference w:id="31"/>
      </w:r>
      <w:r w:rsidRPr="00297680">
        <w:rPr>
          <w:rFonts w:eastAsia="Times New Roman"/>
        </w:rPr>
        <w:t xml:space="preserve"> In addition to the Texas Supreme Court website, other online resources such as Westlaw and Lexis </w:t>
      </w:r>
      <w:proofErr w:type="spellStart"/>
      <w:r w:rsidRPr="00297680">
        <w:rPr>
          <w:rFonts w:eastAsia="Times New Roman"/>
        </w:rPr>
        <w:t>Nexis</w:t>
      </w:r>
      <w:proofErr w:type="spellEnd"/>
      <w:r w:rsidRPr="00297680">
        <w:rPr>
          <w:rFonts w:eastAsia="Times New Roman"/>
        </w:rPr>
        <w:t xml:space="preserve"> provide a limited archival database from which specific searches may reveal a particular county’s local rules. </w:t>
      </w:r>
    </w:p>
    <w:p w:rsidR="00A5373C" w:rsidRPr="00297680" w:rsidRDefault="00A5373C" w:rsidP="00A5373C">
      <w:pPr>
        <w:spacing w:line="240" w:lineRule="auto"/>
        <w:contextualSpacing/>
        <w:rPr>
          <w:rFonts w:eastAsia="Times New Roman"/>
        </w:rPr>
      </w:pPr>
      <w:r w:rsidRPr="00297680">
        <w:rPr>
          <w:rFonts w:eastAsia="Times New Roman"/>
        </w:rPr>
        <w:tab/>
        <w:t>In addition, many counties now publish their local rules online in websites specific to the county. Usually a Google, Bing or other internet web search for the county name and court and “local rules” will identify the site. Finally, as one last suggestion when in doub</w:t>
      </w:r>
      <w:r>
        <w:rPr>
          <w:rFonts w:eastAsia="Times New Roman"/>
        </w:rPr>
        <w:t>t, call the court coordinator/</w:t>
      </w:r>
      <w:r w:rsidRPr="00297680">
        <w:rPr>
          <w:rFonts w:eastAsia="Times New Roman"/>
        </w:rPr>
        <w:t>administrator, or the applicable district or county clerk’s office, and ask for help finding and accessing the local rules.</w:t>
      </w:r>
    </w:p>
    <w:p w:rsidR="00A5373C" w:rsidRPr="00297680" w:rsidRDefault="00A5373C" w:rsidP="00A5373C">
      <w:pPr>
        <w:spacing w:line="240" w:lineRule="auto"/>
        <w:contextualSpacing/>
        <w:rPr>
          <w:rFonts w:eastAsia="Times New Roman"/>
        </w:rPr>
      </w:pPr>
    </w:p>
    <w:p w:rsidR="00A5373C" w:rsidRPr="00297680" w:rsidRDefault="00A5373C" w:rsidP="00A5373C">
      <w:pPr>
        <w:spacing w:line="240" w:lineRule="auto"/>
        <w:contextualSpacing/>
        <w:rPr>
          <w:b/>
        </w:rPr>
      </w:pPr>
      <w:r w:rsidRPr="00297680">
        <w:rPr>
          <w:rFonts w:eastAsia="Times New Roman"/>
          <w:b/>
        </w:rPr>
        <w:tab/>
      </w:r>
      <w:r>
        <w:rPr>
          <w:rFonts w:eastAsia="Times New Roman"/>
          <w:b/>
        </w:rPr>
        <w:t>1-3:3</w:t>
      </w:r>
      <w:r>
        <w:rPr>
          <w:rFonts w:eastAsia="Times New Roman"/>
          <w:b/>
        </w:rPr>
        <w:tab/>
      </w:r>
      <w:proofErr w:type="gramStart"/>
      <w:r>
        <w:rPr>
          <w:rFonts w:eastAsia="Times New Roman"/>
          <w:b/>
        </w:rPr>
        <w:t>Limitation</w:t>
      </w:r>
      <w:proofErr w:type="gramEnd"/>
      <w:r>
        <w:rPr>
          <w:rFonts w:eastAsia="Times New Roman"/>
          <w:b/>
        </w:rPr>
        <w:t xml:space="preserve"> O</w:t>
      </w:r>
      <w:r w:rsidRPr="00297680">
        <w:rPr>
          <w:rFonts w:eastAsia="Times New Roman"/>
          <w:b/>
        </w:rPr>
        <w:t>n Effect of Local Rules</w:t>
      </w:r>
    </w:p>
    <w:p w:rsidR="00A5373C" w:rsidRPr="00297680" w:rsidRDefault="00A5373C" w:rsidP="00A5373C">
      <w:pPr>
        <w:spacing w:line="240" w:lineRule="auto"/>
        <w:ind w:firstLine="720"/>
        <w:contextualSpacing/>
      </w:pPr>
      <w:r w:rsidRPr="00297680">
        <w:t xml:space="preserve">Case law may prevent violation of a local rule from being directly fatal to a case. Local rules are not to conflict with the Texas Rules of Civil Procedure, nor alter the </w:t>
      </w:r>
      <w:proofErr w:type="gramStart"/>
      <w:r w:rsidRPr="00297680">
        <w:t>time periods</w:t>
      </w:r>
      <w:proofErr w:type="gramEnd"/>
      <w:r w:rsidRPr="00297680">
        <w:t xml:space="preserve"> provided by the Texas Rules of Civil Procedure, and no such conflicting local rule is allowed to be applied in a merits-preclusive manner.</w:t>
      </w:r>
      <w:r w:rsidRPr="00297680">
        <w:rPr>
          <w:rStyle w:val="FootnoteReference"/>
        </w:rPr>
        <w:footnoteReference w:id="32"/>
      </w:r>
      <w:r w:rsidRPr="00297680">
        <w:t xml:space="preserve"> </w:t>
      </w:r>
    </w:p>
    <w:p w:rsidR="00A5373C" w:rsidRPr="00297680" w:rsidRDefault="00A5373C" w:rsidP="00A5373C">
      <w:pPr>
        <w:spacing w:line="240" w:lineRule="auto"/>
        <w:ind w:firstLine="720"/>
        <w:contextualSpacing/>
      </w:pPr>
    </w:p>
    <w:p w:rsidR="00A5373C" w:rsidRPr="00297680" w:rsidRDefault="00A5373C" w:rsidP="00A5373C">
      <w:pPr>
        <w:spacing w:line="240" w:lineRule="auto"/>
        <w:contextualSpacing/>
        <w:rPr>
          <w:b/>
        </w:rPr>
      </w:pPr>
      <w:r w:rsidRPr="00297680">
        <w:rPr>
          <w:b/>
        </w:rPr>
        <w:t>1-4</w:t>
      </w:r>
      <w:r w:rsidRPr="00297680">
        <w:rPr>
          <w:b/>
        </w:rPr>
        <w:tab/>
        <w:t>VARIANCES IN COURTROOM PROTOCOL</w:t>
      </w:r>
    </w:p>
    <w:p w:rsidR="00A5373C" w:rsidRPr="00297680" w:rsidRDefault="00A5373C" w:rsidP="00A5373C">
      <w:pPr>
        <w:spacing w:line="240" w:lineRule="auto"/>
        <w:ind w:firstLine="720"/>
        <w:contextualSpacing/>
      </w:pPr>
      <w:r w:rsidRPr="00297680">
        <w:t xml:space="preserve">Trial judges are vested with significant discretion in their courtrooms to require or vary </w:t>
      </w:r>
      <w:proofErr w:type="gramStart"/>
      <w:r w:rsidRPr="00297680">
        <w:t>procedures</w:t>
      </w:r>
      <w:proofErr w:type="gramEnd"/>
      <w:r w:rsidRPr="00297680">
        <w:t xml:space="preserve"> as they deem appropriate for maintaining order and providing a fair trial.</w:t>
      </w:r>
      <w:r w:rsidRPr="00297680">
        <w:rPr>
          <w:rStyle w:val="FootnoteReference"/>
        </w:rPr>
        <w:footnoteReference w:id="33"/>
      </w:r>
      <w:r w:rsidRPr="00297680">
        <w:t xml:space="preserve"> Many of these variations in trial procedure </w:t>
      </w:r>
      <w:proofErr w:type="gramStart"/>
      <w:r w:rsidRPr="00297680">
        <w:t>are not spelled out</w:t>
      </w:r>
      <w:proofErr w:type="gramEnd"/>
      <w:r w:rsidRPr="00297680">
        <w:t xml:space="preserve"> in written local rules. </w:t>
      </w:r>
      <w:proofErr w:type="gramStart"/>
      <w:r w:rsidRPr="00297680">
        <w:t>When set for trial for the first time with a particular judge, a lawyer should seek guidance from other lawyers who are familiar with the judge’s courtroom preferences or, if possible during a pretrial court conference, directly from the judge.</w:t>
      </w:r>
      <w:proofErr w:type="gramEnd"/>
    </w:p>
    <w:p w:rsidR="00A5373C" w:rsidRPr="00297680" w:rsidRDefault="00A5373C" w:rsidP="00A5373C">
      <w:pPr>
        <w:spacing w:line="240" w:lineRule="auto"/>
        <w:ind w:firstLine="720"/>
      </w:pPr>
      <w:r w:rsidRPr="00297680">
        <w:t>The following are some common differences between Texas judges relating to trial procedures.</w:t>
      </w:r>
      <w:r w:rsidRPr="00297680">
        <w:rPr>
          <w:rStyle w:val="FootnoteReference"/>
        </w:rPr>
        <w:footnoteReference w:id="34"/>
      </w:r>
    </w:p>
    <w:p w:rsidR="00A5373C" w:rsidRPr="00297680" w:rsidRDefault="00A5373C" w:rsidP="00A5373C">
      <w:pPr>
        <w:spacing w:line="240" w:lineRule="auto"/>
        <w:ind w:firstLine="720"/>
      </w:pPr>
    </w:p>
    <w:p w:rsidR="00A5373C" w:rsidRPr="00297680" w:rsidRDefault="00A5373C" w:rsidP="00A5373C">
      <w:pPr>
        <w:spacing w:line="240" w:lineRule="auto"/>
        <w:rPr>
          <w:b/>
        </w:rPr>
      </w:pPr>
      <w:r w:rsidRPr="00297680">
        <w:rPr>
          <w:b/>
        </w:rPr>
        <w:tab/>
        <w:t>1-4:1</w:t>
      </w:r>
      <w:r w:rsidRPr="00297680">
        <w:rPr>
          <w:b/>
        </w:rPr>
        <w:tab/>
        <w:t>Presenting Pretrial Motions and Proposed Jury Charges Prior to Trial</w:t>
      </w:r>
    </w:p>
    <w:p w:rsidR="00A5373C" w:rsidRPr="00297680" w:rsidRDefault="00A5373C" w:rsidP="00A5373C">
      <w:pPr>
        <w:pStyle w:val="ListParagraph"/>
        <w:spacing w:line="240" w:lineRule="auto"/>
        <w:ind w:left="0" w:firstLine="720"/>
      </w:pPr>
      <w:r w:rsidRPr="00297680">
        <w:t xml:space="preserve">The willingness of trial judges to hear extensive pretrial motions (such as lengthy motions in </w:t>
      </w:r>
      <w:proofErr w:type="spellStart"/>
      <w:r w:rsidRPr="00297680">
        <w:t>limine</w:t>
      </w:r>
      <w:proofErr w:type="spellEnd"/>
      <w:r w:rsidRPr="00297680">
        <w:t xml:space="preserve">) on the morning of jury selection varies. Section 248 of the Texas Rules of Civil Procedure requires unresolved pending matters, as far as practicable, to be </w:t>
      </w:r>
      <w:proofErr w:type="gramStart"/>
      <w:r w:rsidRPr="00297680">
        <w:t>heard</w:t>
      </w:r>
      <w:proofErr w:type="gramEnd"/>
      <w:r w:rsidRPr="00297680">
        <w:t xml:space="preserve"> and determined by the court before the trial commences, but it does not specify how far in advance of trial the matters should be heard and determined, nor does the rule define what constitutes “practicable.”</w:t>
      </w:r>
      <w:r w:rsidRPr="00297680">
        <w:rPr>
          <w:rStyle w:val="FootnoteReference"/>
        </w:rPr>
        <w:footnoteReference w:id="35"/>
      </w:r>
      <w:r w:rsidRPr="00297680">
        <w:t xml:space="preserve"> Recognize that trial judges are often reluctant to delay jury selection and keep a jury panel waiting in order to dispose of lengthy pretrial issues on the morning of jury selection. Section 166 of the Texas Rules of Civil Procedure clearly authorizes trial judges to set pretrial matters for hearing in advance of trial.</w:t>
      </w:r>
      <w:r w:rsidRPr="00297680">
        <w:rPr>
          <w:rStyle w:val="FootnoteReference"/>
        </w:rPr>
        <w:footnoteReference w:id="36"/>
      </w:r>
      <w:r w:rsidRPr="00297680">
        <w:t xml:space="preserve"> Find out the preference and usual </w:t>
      </w:r>
      <w:r w:rsidRPr="00297680">
        <w:lastRenderedPageBreak/>
        <w:t xml:space="preserve">practice of the trial judge </w:t>
      </w:r>
      <w:r>
        <w:t>for addressing pretrial motions</w:t>
      </w:r>
      <w:r w:rsidRPr="00297680">
        <w:t xml:space="preserve"> and the expectations of the trial judge regarding the timing of submission of proposed jury questions, instructions and definitions by each party.</w:t>
      </w:r>
    </w:p>
    <w:p w:rsidR="00A5373C" w:rsidRPr="00297680" w:rsidRDefault="00A5373C" w:rsidP="00A5373C">
      <w:pPr>
        <w:pStyle w:val="ListParagraph"/>
        <w:spacing w:line="240" w:lineRule="auto"/>
        <w:ind w:left="0" w:firstLine="720"/>
      </w:pPr>
    </w:p>
    <w:p w:rsidR="00A5373C" w:rsidRPr="00297680" w:rsidRDefault="00A5373C" w:rsidP="00A5373C">
      <w:pPr>
        <w:spacing w:line="240" w:lineRule="auto"/>
        <w:rPr>
          <w:b/>
        </w:rPr>
      </w:pPr>
      <w:r w:rsidRPr="00297680">
        <w:rPr>
          <w:b/>
        </w:rPr>
        <w:tab/>
        <w:t>1-4:2</w:t>
      </w:r>
      <w:r w:rsidRPr="00297680">
        <w:rPr>
          <w:b/>
        </w:rPr>
        <w:tab/>
        <w:t xml:space="preserve">Conduct of </w:t>
      </w:r>
      <w:proofErr w:type="spellStart"/>
      <w:r w:rsidRPr="00297680">
        <w:rPr>
          <w:b/>
        </w:rPr>
        <w:t>Voir</w:t>
      </w:r>
      <w:proofErr w:type="spellEnd"/>
      <w:r w:rsidRPr="00297680">
        <w:rPr>
          <w:b/>
        </w:rPr>
        <w:t xml:space="preserve"> Dire and Assertion of Challenges for Cause</w:t>
      </w:r>
    </w:p>
    <w:p w:rsidR="00A5373C" w:rsidRPr="00297680" w:rsidRDefault="00A5373C" w:rsidP="00A5373C">
      <w:pPr>
        <w:pStyle w:val="ListParagraph"/>
        <w:spacing w:line="240" w:lineRule="auto"/>
        <w:ind w:left="0" w:firstLine="720"/>
      </w:pPr>
      <w:r w:rsidRPr="00297680">
        <w:t xml:space="preserve">During the </w:t>
      </w:r>
      <w:proofErr w:type="spellStart"/>
      <w:r w:rsidRPr="00297680">
        <w:t>voir</w:t>
      </w:r>
      <w:proofErr w:type="spellEnd"/>
      <w:r w:rsidRPr="00297680">
        <w:t xml:space="preserve"> dire process, a trial court </w:t>
      </w:r>
      <w:proofErr w:type="gramStart"/>
      <w:r w:rsidRPr="00297680">
        <w:t>is given</w:t>
      </w:r>
      <w:proofErr w:type="gramEnd"/>
      <w:r w:rsidRPr="00297680">
        <w:t xml:space="preserve"> great latitude to control the proceedings. The Texas Supreme Court has stated that the </w:t>
      </w:r>
      <w:proofErr w:type="spellStart"/>
      <w:r w:rsidRPr="00297680">
        <w:t>voir</w:t>
      </w:r>
      <w:proofErr w:type="spellEnd"/>
      <w:r w:rsidRPr="00297680">
        <w:t xml:space="preserve"> dire process is inherently subjective and does not lend itself to formulaic management.</w:t>
      </w:r>
      <w:r w:rsidRPr="00297680">
        <w:rPr>
          <w:rStyle w:val="FootnoteReference"/>
        </w:rPr>
        <w:footnoteReference w:id="37"/>
      </w:r>
      <w:r w:rsidRPr="00297680">
        <w:t xml:space="preserve"> </w:t>
      </w:r>
    </w:p>
    <w:p w:rsidR="00A5373C" w:rsidRPr="00297680" w:rsidRDefault="00A5373C" w:rsidP="00A5373C">
      <w:pPr>
        <w:pStyle w:val="ListParagraph"/>
        <w:spacing w:line="240" w:lineRule="auto"/>
        <w:ind w:left="0" w:firstLine="720"/>
      </w:pPr>
      <w:r>
        <w:t>Chapter 6</w:t>
      </w:r>
      <w:r w:rsidRPr="00297680">
        <w:t xml:space="preserve">, Jury Selection, discusses the extent of latitude of the trial court and the governing rules applicable during </w:t>
      </w:r>
      <w:proofErr w:type="spellStart"/>
      <w:r w:rsidRPr="00297680">
        <w:t>voir</w:t>
      </w:r>
      <w:proofErr w:type="spellEnd"/>
      <w:r w:rsidRPr="00297680">
        <w:t xml:space="preserve"> dire. In order to better anticipate and plan for the trial court’s approach to </w:t>
      </w:r>
      <w:proofErr w:type="spellStart"/>
      <w:r w:rsidRPr="00297680">
        <w:t>voir</w:t>
      </w:r>
      <w:proofErr w:type="spellEnd"/>
      <w:r w:rsidRPr="00297680">
        <w:t xml:space="preserve"> dire, it is extremely helpful to find out the answers to these questions in advance of trial.</w:t>
      </w:r>
    </w:p>
    <w:p w:rsidR="00A5373C" w:rsidRPr="00297680" w:rsidRDefault="00A5373C" w:rsidP="00A5373C">
      <w:pPr>
        <w:pStyle w:val="ListParagraph"/>
        <w:spacing w:line="240" w:lineRule="auto"/>
        <w:ind w:left="0" w:firstLine="720"/>
      </w:pPr>
    </w:p>
    <w:p w:rsidR="00A5373C" w:rsidRPr="00297680" w:rsidRDefault="00A5373C" w:rsidP="00A5373C">
      <w:pPr>
        <w:spacing w:line="240" w:lineRule="auto"/>
        <w:rPr>
          <w:b/>
        </w:rPr>
      </w:pPr>
      <w:r w:rsidRPr="00297680">
        <w:rPr>
          <w:b/>
        </w:rPr>
        <w:tab/>
      </w:r>
      <w:r w:rsidRPr="00297680">
        <w:rPr>
          <w:b/>
        </w:rPr>
        <w:tab/>
        <w:t>1-4:2.1</w:t>
      </w:r>
      <w:r w:rsidRPr="00297680">
        <w:rPr>
          <w:b/>
        </w:rPr>
        <w:tab/>
      </w:r>
      <w:proofErr w:type="gramStart"/>
      <w:r w:rsidRPr="00297680">
        <w:rPr>
          <w:b/>
        </w:rPr>
        <w:t>Access</w:t>
      </w:r>
      <w:proofErr w:type="gramEnd"/>
      <w:r w:rsidRPr="00297680">
        <w:rPr>
          <w:b/>
        </w:rPr>
        <w:t xml:space="preserve"> to Jury List</w:t>
      </w:r>
    </w:p>
    <w:p w:rsidR="00A5373C" w:rsidRPr="00297680" w:rsidRDefault="00A5373C" w:rsidP="00A5373C">
      <w:pPr>
        <w:spacing w:line="240" w:lineRule="auto"/>
        <w:ind w:firstLine="720"/>
      </w:pPr>
      <w:r w:rsidRPr="00297680">
        <w:t xml:space="preserve">When do the attorneys first have access to the list of persons who </w:t>
      </w:r>
      <w:proofErr w:type="gramStart"/>
      <w:r w:rsidRPr="00297680">
        <w:t>have been summoned or assigned to the panel for jury selection</w:t>
      </w:r>
      <w:proofErr w:type="gramEnd"/>
      <w:r w:rsidRPr="00297680">
        <w:t xml:space="preserve">? </w:t>
      </w:r>
    </w:p>
    <w:p w:rsidR="00A5373C" w:rsidRPr="00297680" w:rsidRDefault="00A5373C" w:rsidP="00A5373C">
      <w:pPr>
        <w:spacing w:line="240" w:lineRule="auto"/>
        <w:ind w:firstLine="720"/>
      </w:pPr>
      <w:r w:rsidRPr="00297680">
        <w:t xml:space="preserve">Usually the list is not available until the morning of jury selection, but in some rural counties (typically a county served by only one district court and one county </w:t>
      </w:r>
      <w:proofErr w:type="gramStart"/>
      <w:r w:rsidRPr="00297680">
        <w:t>court)</w:t>
      </w:r>
      <w:proofErr w:type="gramEnd"/>
      <w:r w:rsidRPr="00297680">
        <w:t xml:space="preserve"> a list of persons summoned for jury service may be available several days before jury selection.</w:t>
      </w:r>
    </w:p>
    <w:p w:rsidR="00A5373C" w:rsidRPr="00297680" w:rsidRDefault="00A5373C" w:rsidP="00A5373C">
      <w:pPr>
        <w:spacing w:line="240" w:lineRule="auto"/>
      </w:pPr>
    </w:p>
    <w:p w:rsidR="00A5373C" w:rsidRPr="00297680" w:rsidRDefault="00A5373C" w:rsidP="00A5373C">
      <w:pPr>
        <w:spacing w:line="240" w:lineRule="auto"/>
        <w:rPr>
          <w:b/>
        </w:rPr>
      </w:pPr>
      <w:r w:rsidRPr="00297680">
        <w:rPr>
          <w:b/>
        </w:rPr>
        <w:tab/>
      </w:r>
      <w:r w:rsidRPr="00297680">
        <w:rPr>
          <w:b/>
        </w:rPr>
        <w:tab/>
        <w:t>1-4:2.2</w:t>
      </w:r>
      <w:r w:rsidRPr="00297680">
        <w:rPr>
          <w:b/>
        </w:rPr>
        <w:tab/>
        <w:t>Supplemental Juror Questionnaires</w:t>
      </w:r>
    </w:p>
    <w:p w:rsidR="00A5373C" w:rsidRPr="00297680" w:rsidRDefault="00A5373C" w:rsidP="00A5373C">
      <w:pPr>
        <w:spacing w:line="240" w:lineRule="auto"/>
        <w:ind w:firstLine="720"/>
      </w:pPr>
      <w:r w:rsidRPr="00297680">
        <w:t>What is the court’s attitude toward the use of supplemental juror questionnaires?</w:t>
      </w:r>
      <w:r>
        <w:t xml:space="preserve"> </w:t>
      </w:r>
      <w:r w:rsidRPr="00297680">
        <w:t>Attitudes of Texas trial judges vary greatly on this topic.</w:t>
      </w:r>
    </w:p>
    <w:p w:rsidR="00A5373C" w:rsidRPr="00297680" w:rsidRDefault="00A5373C" w:rsidP="00A5373C">
      <w:pPr>
        <w:spacing w:line="240" w:lineRule="auto"/>
      </w:pPr>
    </w:p>
    <w:p w:rsidR="00A5373C" w:rsidRPr="00297680" w:rsidRDefault="00A5373C" w:rsidP="00A5373C">
      <w:pPr>
        <w:spacing w:line="240" w:lineRule="auto"/>
        <w:rPr>
          <w:b/>
        </w:rPr>
      </w:pPr>
      <w:r w:rsidRPr="00297680">
        <w:rPr>
          <w:b/>
        </w:rPr>
        <w:tab/>
      </w:r>
      <w:r w:rsidRPr="00297680">
        <w:rPr>
          <w:b/>
        </w:rPr>
        <w:tab/>
        <w:t>1-4:2.3</w:t>
      </w:r>
      <w:r w:rsidRPr="00297680">
        <w:rPr>
          <w:b/>
        </w:rPr>
        <w:tab/>
      </w:r>
      <w:proofErr w:type="gramStart"/>
      <w:r w:rsidRPr="00297680">
        <w:rPr>
          <w:b/>
        </w:rPr>
        <w:t>Time</w:t>
      </w:r>
      <w:proofErr w:type="gramEnd"/>
      <w:r w:rsidRPr="00297680">
        <w:rPr>
          <w:b/>
        </w:rPr>
        <w:t xml:space="preserve"> Allotted for Questioning Jury</w:t>
      </w:r>
    </w:p>
    <w:p w:rsidR="00A5373C" w:rsidRPr="00297680" w:rsidRDefault="00A5373C" w:rsidP="00A5373C">
      <w:pPr>
        <w:spacing w:line="240" w:lineRule="auto"/>
        <w:ind w:firstLine="720"/>
      </w:pPr>
      <w:r w:rsidRPr="00297680">
        <w:t xml:space="preserve">How much time is likely to </w:t>
      </w:r>
      <w:proofErr w:type="gramStart"/>
      <w:r w:rsidRPr="00297680">
        <w:t>be granted</w:t>
      </w:r>
      <w:proofErr w:type="gramEnd"/>
      <w:r w:rsidRPr="00297680">
        <w:t xml:space="preserve"> by the court to each party for questioning the jury panel during </w:t>
      </w:r>
      <w:proofErr w:type="spellStart"/>
      <w:r w:rsidRPr="00297680">
        <w:t>voir</w:t>
      </w:r>
      <w:proofErr w:type="spellEnd"/>
      <w:r w:rsidRPr="00297680">
        <w:t xml:space="preserve"> dire?</w:t>
      </w:r>
    </w:p>
    <w:p w:rsidR="00A5373C" w:rsidRPr="00297680" w:rsidRDefault="00A5373C" w:rsidP="00A5373C">
      <w:pPr>
        <w:spacing w:line="240" w:lineRule="auto"/>
        <w:ind w:firstLine="720"/>
      </w:pPr>
      <w:r w:rsidRPr="00297680">
        <w:t xml:space="preserve">The answer to this question often depends on the nature of the case </w:t>
      </w:r>
      <w:proofErr w:type="gramStart"/>
      <w:r w:rsidRPr="00297680">
        <w:t>being tried</w:t>
      </w:r>
      <w:proofErr w:type="gramEnd"/>
      <w:r w:rsidRPr="00297680">
        <w:t>, but some judges tend to allow more time than others, within the time parameters from the case</w:t>
      </w:r>
      <w:r>
        <w:t xml:space="preserve"> law discussed in Chapter 7. It i</w:t>
      </w:r>
      <w:r w:rsidRPr="00297680">
        <w:t>s important for planning and preparation to know what to expect regarding time allowances.</w:t>
      </w:r>
    </w:p>
    <w:p w:rsidR="00A5373C" w:rsidRPr="00297680" w:rsidRDefault="00A5373C" w:rsidP="00A5373C">
      <w:pPr>
        <w:spacing w:line="240" w:lineRule="auto"/>
        <w:ind w:firstLine="720"/>
      </w:pPr>
    </w:p>
    <w:p w:rsidR="00A5373C" w:rsidRPr="00297680" w:rsidRDefault="00A5373C" w:rsidP="00A5373C">
      <w:pPr>
        <w:spacing w:line="240" w:lineRule="auto"/>
        <w:rPr>
          <w:b/>
        </w:rPr>
      </w:pPr>
      <w:r w:rsidRPr="00297680">
        <w:rPr>
          <w:b/>
        </w:rPr>
        <w:tab/>
      </w:r>
      <w:r w:rsidRPr="00297680">
        <w:rPr>
          <w:b/>
        </w:rPr>
        <w:tab/>
        <w:t>1-4:2.4</w:t>
      </w:r>
      <w:r w:rsidRPr="00297680">
        <w:rPr>
          <w:b/>
        </w:rPr>
        <w:tab/>
      </w:r>
      <w:proofErr w:type="gramStart"/>
      <w:r w:rsidRPr="00297680">
        <w:rPr>
          <w:b/>
        </w:rPr>
        <w:t>Discussion</w:t>
      </w:r>
      <w:proofErr w:type="gramEnd"/>
      <w:r w:rsidRPr="00297680">
        <w:rPr>
          <w:b/>
        </w:rPr>
        <w:t xml:space="preserve"> of Case Facts</w:t>
      </w:r>
      <w:r w:rsidR="0060433D">
        <w:rPr>
          <w:b/>
        </w:rPr>
        <w:t xml:space="preserve"> </w:t>
      </w:r>
      <w:r w:rsidR="0060433D" w:rsidRPr="0060433D">
        <w:rPr>
          <w:b/>
        </w:rPr>
        <w:t xml:space="preserve">During </w:t>
      </w:r>
      <w:proofErr w:type="spellStart"/>
      <w:r w:rsidR="0060433D" w:rsidRPr="0060433D">
        <w:rPr>
          <w:b/>
        </w:rPr>
        <w:t>Voir</w:t>
      </w:r>
      <w:proofErr w:type="spellEnd"/>
      <w:r w:rsidR="0060433D" w:rsidRPr="0060433D">
        <w:rPr>
          <w:b/>
        </w:rPr>
        <w:t xml:space="preserve"> Dire</w:t>
      </w:r>
    </w:p>
    <w:p w:rsidR="00A5373C" w:rsidRPr="00297680" w:rsidRDefault="00A5373C" w:rsidP="00A5373C">
      <w:pPr>
        <w:spacing w:line="240" w:lineRule="auto"/>
        <w:ind w:firstLine="720"/>
      </w:pPr>
      <w:r w:rsidRPr="00297680">
        <w:t xml:space="preserve">How strict or lenient is the court regarding discussion of case facts, i.e., how does the court interpret commitment questions during </w:t>
      </w:r>
      <w:proofErr w:type="spellStart"/>
      <w:r w:rsidRPr="00297680">
        <w:t>voir</w:t>
      </w:r>
      <w:proofErr w:type="spellEnd"/>
      <w:r w:rsidRPr="00297680">
        <w:t xml:space="preserve"> dire?</w:t>
      </w:r>
    </w:p>
    <w:p w:rsidR="00A5373C" w:rsidRPr="00297680" w:rsidRDefault="00A5373C" w:rsidP="00A5373C">
      <w:pPr>
        <w:spacing w:line="240" w:lineRule="auto"/>
        <w:ind w:firstLine="720"/>
      </w:pPr>
      <w:r>
        <w:t>As discussed in Chapter 6</w:t>
      </w:r>
      <w:r w:rsidRPr="00297680">
        <w:t xml:space="preserve">, trial judges have discretion to allow commitment questions to </w:t>
      </w:r>
      <w:proofErr w:type="gramStart"/>
      <w:r w:rsidRPr="00297680">
        <w:t>be asked</w:t>
      </w:r>
      <w:proofErr w:type="gramEnd"/>
      <w:r w:rsidRPr="00297680">
        <w:t xml:space="preserve"> (although challenges for cause may not be based upon an improper commitment question). Some judges are more lenient than others regarding these kinds of </w:t>
      </w:r>
      <w:proofErr w:type="gramStart"/>
      <w:r w:rsidRPr="00297680">
        <w:t>questions</w:t>
      </w:r>
      <w:proofErr w:type="gramEnd"/>
      <w:r w:rsidRPr="00297680">
        <w:t>.</w:t>
      </w:r>
    </w:p>
    <w:p w:rsidR="00A5373C" w:rsidRPr="00297680" w:rsidRDefault="00A5373C" w:rsidP="00A5373C">
      <w:pPr>
        <w:spacing w:line="240" w:lineRule="auto"/>
        <w:ind w:firstLine="720"/>
      </w:pPr>
    </w:p>
    <w:p w:rsidR="00A5373C" w:rsidRPr="00297680" w:rsidRDefault="00A5373C" w:rsidP="00A5373C">
      <w:pPr>
        <w:spacing w:line="240" w:lineRule="auto"/>
        <w:rPr>
          <w:b/>
        </w:rPr>
      </w:pPr>
      <w:r w:rsidRPr="00297680">
        <w:rPr>
          <w:b/>
        </w:rPr>
        <w:tab/>
      </w:r>
      <w:r w:rsidRPr="00297680">
        <w:rPr>
          <w:b/>
        </w:rPr>
        <w:tab/>
        <w:t>1-4:2.5</w:t>
      </w:r>
      <w:r w:rsidRPr="00297680">
        <w:rPr>
          <w:b/>
        </w:rPr>
        <w:tab/>
      </w:r>
      <w:proofErr w:type="gramStart"/>
      <w:r w:rsidRPr="00297680">
        <w:rPr>
          <w:b/>
        </w:rPr>
        <w:t>Allowance</w:t>
      </w:r>
      <w:proofErr w:type="gramEnd"/>
      <w:r w:rsidRPr="00297680">
        <w:rPr>
          <w:b/>
        </w:rPr>
        <w:t xml:space="preserve"> for Additional Questioning</w:t>
      </w:r>
    </w:p>
    <w:p w:rsidR="00A5373C" w:rsidRPr="00297680" w:rsidRDefault="00A5373C" w:rsidP="00A5373C">
      <w:pPr>
        <w:spacing w:line="240" w:lineRule="auto"/>
        <w:ind w:firstLine="720"/>
      </w:pPr>
      <w:r w:rsidRPr="00297680">
        <w:t xml:space="preserve">What is the court’s preference or customary procedure for allowing additional questioning or rehabilitation of individual venire persons at the bench, </w:t>
      </w:r>
      <w:proofErr w:type="gramStart"/>
      <w:r w:rsidRPr="00297680">
        <w:t>for the purpose of</w:t>
      </w:r>
      <w:proofErr w:type="gramEnd"/>
      <w:r w:rsidRPr="00297680">
        <w:t xml:space="preserve"> exploring possible challenges for cause, subsequent to questioning of the panel?</w:t>
      </w:r>
    </w:p>
    <w:p w:rsidR="00A5373C" w:rsidRPr="00297680" w:rsidRDefault="00A5373C" w:rsidP="00A5373C">
      <w:pPr>
        <w:spacing w:line="240" w:lineRule="auto"/>
        <w:ind w:firstLine="720"/>
      </w:pPr>
      <w:r w:rsidRPr="00297680">
        <w:t xml:space="preserve">The majority of trial judges allow counsel to ask additional questions of individual venire persons at the bench in support or opposition to potential challenges for cause, but this is not true of all judges. It is important to know the judge’s usual practice or preference before questioning the panel as a whole, because the answer will dictate how far questioning of venire persons </w:t>
      </w:r>
      <w:proofErr w:type="gramStart"/>
      <w:r w:rsidRPr="00297680">
        <w:t>must be pursued</w:t>
      </w:r>
      <w:proofErr w:type="gramEnd"/>
      <w:r w:rsidRPr="00297680">
        <w:t xml:space="preserve"> during panel discussions. </w:t>
      </w:r>
    </w:p>
    <w:p w:rsidR="00A5373C" w:rsidRPr="00297680" w:rsidRDefault="00A5373C" w:rsidP="00A5373C">
      <w:pPr>
        <w:spacing w:line="240" w:lineRule="auto"/>
        <w:ind w:firstLine="720"/>
      </w:pPr>
    </w:p>
    <w:p w:rsidR="00A5373C" w:rsidRPr="00297680" w:rsidRDefault="00A5373C" w:rsidP="00A5373C">
      <w:pPr>
        <w:spacing w:line="240" w:lineRule="auto"/>
        <w:rPr>
          <w:b/>
        </w:rPr>
      </w:pPr>
      <w:r w:rsidRPr="00297680">
        <w:rPr>
          <w:b/>
        </w:rPr>
        <w:tab/>
        <w:t>1-4:3</w:t>
      </w:r>
      <w:r w:rsidRPr="00297680">
        <w:rPr>
          <w:b/>
        </w:rPr>
        <w:tab/>
      </w:r>
      <w:proofErr w:type="gramStart"/>
      <w:r w:rsidRPr="00297680">
        <w:rPr>
          <w:b/>
        </w:rPr>
        <w:t>Use</w:t>
      </w:r>
      <w:proofErr w:type="gramEnd"/>
      <w:r w:rsidRPr="00297680">
        <w:rPr>
          <w:b/>
        </w:rPr>
        <w:t xml:space="preserve"> of Demonstra</w:t>
      </w:r>
      <w:r>
        <w:rPr>
          <w:b/>
        </w:rPr>
        <w:t>tive Exhibits D</w:t>
      </w:r>
      <w:r w:rsidRPr="00297680">
        <w:rPr>
          <w:b/>
        </w:rPr>
        <w:t>uring Opening Statement</w:t>
      </w:r>
    </w:p>
    <w:p w:rsidR="00A5373C" w:rsidRPr="00297680" w:rsidRDefault="00A5373C" w:rsidP="00A5373C">
      <w:pPr>
        <w:pStyle w:val="ListParagraph"/>
        <w:spacing w:line="240" w:lineRule="auto"/>
        <w:ind w:left="0" w:firstLine="720"/>
      </w:pPr>
      <w:r w:rsidRPr="00297680">
        <w:t xml:space="preserve">Most trial judges allow potential evidence and demonstrative exhibits to </w:t>
      </w:r>
      <w:proofErr w:type="gramStart"/>
      <w:r w:rsidRPr="00297680">
        <w:t>be shown</w:t>
      </w:r>
      <w:proofErr w:type="gramEnd"/>
      <w:r w:rsidRPr="00297680">
        <w:t xml:space="preserve"> to the jury </w:t>
      </w:r>
      <w:r w:rsidRPr="00297680">
        <w:lastRenderedPageBreak/>
        <w:t>during opening statement if they have been shown in advance to opposing counsel and no objection has been raised. Some tria</w:t>
      </w:r>
      <w:r>
        <w:t xml:space="preserve">l judges prefer only </w:t>
      </w:r>
      <w:proofErr w:type="spellStart"/>
      <w:r>
        <w:t>pre</w:t>
      </w:r>
      <w:r w:rsidRPr="00297680">
        <w:t>admitted</w:t>
      </w:r>
      <w:proofErr w:type="spellEnd"/>
      <w:r w:rsidRPr="00297680">
        <w:t xml:space="preserve"> exhibits to </w:t>
      </w:r>
      <w:proofErr w:type="gramStart"/>
      <w:r w:rsidRPr="00297680">
        <w:t>be shown</w:t>
      </w:r>
      <w:proofErr w:type="gramEnd"/>
      <w:r w:rsidRPr="00297680">
        <w:t xml:space="preserve"> to the jury during opening statement. Some trial judges are very willing to rule upon and allow disputed exhibits to </w:t>
      </w:r>
      <w:proofErr w:type="gramStart"/>
      <w:r w:rsidRPr="00297680">
        <w:t>be shown</w:t>
      </w:r>
      <w:proofErr w:type="gramEnd"/>
      <w:r w:rsidRPr="00297680">
        <w:t>, even</w:t>
      </w:r>
      <w:r>
        <w:t xml:space="preserve"> in the absence of a formal pre</w:t>
      </w:r>
      <w:r w:rsidRPr="00297680">
        <w:t xml:space="preserve">admission procedure. </w:t>
      </w:r>
      <w:proofErr w:type="gramStart"/>
      <w:r w:rsidRPr="00297680">
        <w:t>But</w:t>
      </w:r>
      <w:proofErr w:type="gramEnd"/>
      <w:r w:rsidRPr="00297680">
        <w:t xml:space="preserve"> trial judges usually don’t like to be surprised by counsel showing potentially inadmissible and undisclosed evidence and demonstrative exhibits to the jury. </w:t>
      </w:r>
    </w:p>
    <w:p w:rsidR="00A5373C" w:rsidRPr="00297680" w:rsidRDefault="00A5373C" w:rsidP="00A5373C">
      <w:pPr>
        <w:pStyle w:val="ListParagraph"/>
        <w:spacing w:line="240" w:lineRule="auto"/>
        <w:ind w:left="0" w:firstLine="720"/>
      </w:pPr>
      <w:r w:rsidRPr="00297680">
        <w:t xml:space="preserve">Find out in advance how the trial judge prefers for material to </w:t>
      </w:r>
      <w:proofErr w:type="gramStart"/>
      <w:r w:rsidRPr="00297680">
        <w:t>be presented</w:t>
      </w:r>
      <w:proofErr w:type="gramEnd"/>
      <w:r w:rsidRPr="00297680">
        <w:t xml:space="preserve"> visually during opening statement.</w:t>
      </w:r>
    </w:p>
    <w:p w:rsidR="00A5373C" w:rsidRPr="00297680" w:rsidRDefault="00A5373C" w:rsidP="00A5373C">
      <w:pPr>
        <w:pStyle w:val="ListParagraph"/>
        <w:spacing w:line="240" w:lineRule="auto"/>
        <w:ind w:left="0" w:firstLine="720"/>
      </w:pPr>
    </w:p>
    <w:p w:rsidR="00A5373C" w:rsidRPr="00297680" w:rsidRDefault="00A5373C" w:rsidP="00A5373C">
      <w:pPr>
        <w:spacing w:line="240" w:lineRule="auto"/>
        <w:rPr>
          <w:b/>
        </w:rPr>
      </w:pPr>
      <w:r w:rsidRPr="00297680">
        <w:rPr>
          <w:b/>
        </w:rPr>
        <w:tab/>
        <w:t>1-4:4</w:t>
      </w:r>
      <w:r w:rsidRPr="00297680">
        <w:rPr>
          <w:b/>
        </w:rPr>
        <w:tab/>
      </w:r>
      <w:proofErr w:type="gramStart"/>
      <w:r w:rsidRPr="00297680">
        <w:rPr>
          <w:b/>
        </w:rPr>
        <w:t>Preference</w:t>
      </w:r>
      <w:proofErr w:type="gramEnd"/>
      <w:r w:rsidRPr="00297680">
        <w:rPr>
          <w:b/>
        </w:rPr>
        <w:t xml:space="preserve"> for Conduc</w:t>
      </w:r>
      <w:r>
        <w:rPr>
          <w:b/>
        </w:rPr>
        <w:t>t of Examinations and Movement W</w:t>
      </w:r>
      <w:r w:rsidRPr="00297680">
        <w:rPr>
          <w:b/>
        </w:rPr>
        <w:t>ithin the Courtroom</w:t>
      </w:r>
    </w:p>
    <w:p w:rsidR="00A5373C" w:rsidRPr="00297680" w:rsidRDefault="00A5373C" w:rsidP="00A5373C">
      <w:pPr>
        <w:pStyle w:val="ListParagraph"/>
        <w:spacing w:line="240" w:lineRule="auto"/>
        <w:ind w:left="0" w:firstLine="720"/>
      </w:pPr>
      <w:r w:rsidRPr="00297680">
        <w:t>Most Texas trial judges prefer for counsel to remain seated at counsel table during direct and cross examinations, but certainly not all. Some judges expect counsel to conduct examinations from a podium, as more commonly seen in federal court. Some judges allow counsel to stand during their questioning if they prefer, provided they stay behind counsel table other than when necessar</w:t>
      </w:r>
      <w:r>
        <w:t>y to approach the witness. S</w:t>
      </w:r>
      <w:r w:rsidRPr="00297680">
        <w:t xml:space="preserve">ome judges allow counsel to move freely about the courtroom when questioning a witness. </w:t>
      </w:r>
    </w:p>
    <w:p w:rsidR="00A5373C" w:rsidRPr="00297680" w:rsidRDefault="00A5373C" w:rsidP="00A5373C">
      <w:pPr>
        <w:pStyle w:val="ListParagraph"/>
        <w:spacing w:line="240" w:lineRule="auto"/>
        <w:ind w:left="0" w:firstLine="720"/>
      </w:pPr>
      <w:r w:rsidRPr="00297680">
        <w:t>Many judges expect counsel to ask each ti</w:t>
      </w:r>
      <w:r>
        <w:t>me before approaching a witness;</w:t>
      </w:r>
      <w:r w:rsidRPr="00297680">
        <w:t xml:space="preserve"> some expect that to </w:t>
      </w:r>
      <w:proofErr w:type="gramStart"/>
      <w:r w:rsidRPr="00297680">
        <w:t>be done</w:t>
      </w:r>
      <w:proofErr w:type="gramEnd"/>
      <w:r w:rsidRPr="00297680">
        <w:t xml:space="preserve"> only the first time. </w:t>
      </w:r>
    </w:p>
    <w:p w:rsidR="00A5373C" w:rsidRPr="00297680" w:rsidRDefault="00A5373C" w:rsidP="00A5373C">
      <w:pPr>
        <w:pStyle w:val="ListParagraph"/>
        <w:spacing w:line="240" w:lineRule="auto"/>
        <w:ind w:left="0" w:firstLine="720"/>
      </w:pPr>
      <w:r w:rsidRPr="00297680">
        <w:t>The objective is to simultaneously demonstrate respect to the court (by working within the judge’s expectations) while asserting a strong presence and credibility with jurors by moving comfortably and confidently within the courtroom. Find out the judge’s preferences and expectations before trial and plan accordingly.</w:t>
      </w:r>
    </w:p>
    <w:p w:rsidR="00A5373C" w:rsidRPr="00297680" w:rsidRDefault="00A5373C" w:rsidP="00A5373C">
      <w:pPr>
        <w:pStyle w:val="ListParagraph"/>
        <w:spacing w:line="240" w:lineRule="auto"/>
        <w:ind w:left="0" w:firstLine="720"/>
      </w:pPr>
    </w:p>
    <w:p w:rsidR="00A5373C" w:rsidRPr="00297680" w:rsidRDefault="00A5373C" w:rsidP="00A5373C">
      <w:pPr>
        <w:spacing w:line="240" w:lineRule="auto"/>
        <w:rPr>
          <w:b/>
        </w:rPr>
      </w:pPr>
      <w:r w:rsidRPr="00297680">
        <w:rPr>
          <w:b/>
        </w:rPr>
        <w:tab/>
      </w:r>
      <w:r>
        <w:rPr>
          <w:b/>
        </w:rPr>
        <w:t>1-4:5</w:t>
      </w:r>
      <w:r>
        <w:rPr>
          <w:b/>
        </w:rPr>
        <w:tab/>
        <w:t>Offering, Showing</w:t>
      </w:r>
      <w:r w:rsidRPr="00297680">
        <w:rPr>
          <w:b/>
        </w:rPr>
        <w:t xml:space="preserve"> and Preserving Demonstrative Exhibits </w:t>
      </w:r>
      <w:proofErr w:type="gramStart"/>
      <w:r w:rsidRPr="00297680">
        <w:rPr>
          <w:b/>
        </w:rPr>
        <w:t>During</w:t>
      </w:r>
      <w:proofErr w:type="gramEnd"/>
      <w:r w:rsidRPr="00297680">
        <w:rPr>
          <w:b/>
        </w:rPr>
        <w:t xml:space="preserve"> Trial</w:t>
      </w:r>
    </w:p>
    <w:p w:rsidR="00A5373C" w:rsidRPr="00297680" w:rsidRDefault="00A5373C" w:rsidP="00A5373C">
      <w:pPr>
        <w:pStyle w:val="ListParagraph"/>
        <w:spacing w:line="240" w:lineRule="auto"/>
        <w:ind w:left="0" w:firstLine="720"/>
      </w:pPr>
      <w:r w:rsidRPr="00297680">
        <w:t xml:space="preserve">Terminology regarding demonstrative exhibits varies somewhat between trial judges, although experienced trial judges tend to be flexible enough to accommodate </w:t>
      </w:r>
      <w:proofErr w:type="gramStart"/>
      <w:r w:rsidRPr="00297680">
        <w:t>whatever terminology is utilized by trial counsel</w:t>
      </w:r>
      <w:proofErr w:type="gramEnd"/>
      <w:r w:rsidRPr="00297680">
        <w:t xml:space="preserve">. </w:t>
      </w:r>
    </w:p>
    <w:p w:rsidR="00A5373C" w:rsidRPr="00297680" w:rsidRDefault="00A5373C" w:rsidP="00A5373C">
      <w:pPr>
        <w:pStyle w:val="ListParagraph"/>
        <w:spacing w:line="240" w:lineRule="auto"/>
        <w:ind w:left="0" w:firstLine="720"/>
      </w:pPr>
      <w:r w:rsidRPr="00297680">
        <w:t>Judges generally appreciate counsel clarifying when an exhibit is being offered for demonstrative purposes only (simply to aid the jury in understanding the testimony), because purely demonstrative exhibits (as opposed to exhibits offered as evidence with independent evidentiary value of their own) are not usually sent to the jury room during deliberations</w:t>
      </w:r>
      <w:r w:rsidRPr="00297680">
        <w:rPr>
          <w:i/>
        </w:rPr>
        <w:t>.</w:t>
      </w:r>
      <w:r w:rsidRPr="00297680">
        <w:rPr>
          <w:rStyle w:val="FootnoteReference"/>
        </w:rPr>
        <w:footnoteReference w:id="38"/>
      </w:r>
      <w:r w:rsidRPr="00297680">
        <w:t xml:space="preserve"> </w:t>
      </w:r>
    </w:p>
    <w:p w:rsidR="00A5373C" w:rsidRPr="00297680" w:rsidRDefault="00A5373C" w:rsidP="00A5373C">
      <w:pPr>
        <w:pStyle w:val="ListParagraph"/>
        <w:spacing w:line="240" w:lineRule="auto"/>
        <w:ind w:left="0" w:firstLine="720"/>
      </w:pPr>
      <w:r w:rsidRPr="00297680">
        <w:t xml:space="preserve">The phraseology most commonly utilized in Texas to clarify this distinction is </w:t>
      </w:r>
      <w:proofErr w:type="gramStart"/>
      <w:r w:rsidRPr="00297680">
        <w:t>to state (when offering the exhibit) or to inquire (when responding to an opponent’s offer)</w:t>
      </w:r>
      <w:proofErr w:type="gramEnd"/>
      <w:r w:rsidRPr="00297680">
        <w:t xml:space="preserve"> whether the exhibit is a “demonstrative exhibit only”/“offered for demonstrative purposes only.” </w:t>
      </w:r>
    </w:p>
    <w:p w:rsidR="00A5373C" w:rsidRPr="00297680" w:rsidRDefault="00A5373C" w:rsidP="00A5373C">
      <w:pPr>
        <w:pStyle w:val="ListParagraph"/>
        <w:spacing w:line="240" w:lineRule="auto"/>
        <w:ind w:left="0" w:firstLine="720"/>
      </w:pPr>
      <w:r w:rsidRPr="00297680">
        <w:t>Not all judges, however, are comfortable with this distinction. Article 36.25 of the Texas Code of Criminal Procedure</w:t>
      </w:r>
      <w:r w:rsidRPr="00297680">
        <w:rPr>
          <w:rFonts w:eastAsia="Times New Roman"/>
        </w:rPr>
        <w:t xml:space="preserve"> requires “all exhibits admitted as evidence” to be provided to jurors on request. </w:t>
      </w:r>
      <w:r w:rsidRPr="00297680">
        <w:t xml:space="preserve">Some judges, </w:t>
      </w:r>
      <w:proofErr w:type="gramStart"/>
      <w:r w:rsidRPr="00297680">
        <w:t>in order to further differentiate</w:t>
      </w:r>
      <w:proofErr w:type="gramEnd"/>
      <w:r w:rsidRPr="00297680">
        <w:t xml:space="preserve"> between evidentiary exhibits and merely demonstrative aids, prefer not to formally admit demonstratives as exhibits at all.</w:t>
      </w:r>
      <w:r w:rsidRPr="00297680">
        <w:rPr>
          <w:rStyle w:val="FootnoteReference"/>
        </w:rPr>
        <w:footnoteReference w:id="39"/>
      </w:r>
      <w:r w:rsidRPr="00297680">
        <w:t xml:space="preserve"> Instead, they prefer </w:t>
      </w:r>
      <w:proofErr w:type="gramStart"/>
      <w:r w:rsidRPr="00297680">
        <w:t>to simply acknowledge</w:t>
      </w:r>
      <w:proofErr w:type="gramEnd"/>
      <w:r w:rsidRPr="00297680">
        <w:t>, on request, that a demonstrative is “preserved” for further use by counsel, in order to prevent the exhibit from being marked upon and altered by opposing counsel.</w:t>
      </w:r>
      <w:r w:rsidRPr="00297680">
        <w:rPr>
          <w:rStyle w:val="FootnoteReference"/>
        </w:rPr>
        <w:footnoteReference w:id="40"/>
      </w:r>
      <w:r w:rsidRPr="00297680">
        <w:t xml:space="preserve"> </w:t>
      </w:r>
    </w:p>
    <w:p w:rsidR="00A5373C" w:rsidRPr="00297680" w:rsidRDefault="00A5373C" w:rsidP="00A5373C">
      <w:pPr>
        <w:pStyle w:val="ListParagraph"/>
        <w:spacing w:line="240" w:lineRule="auto"/>
        <w:ind w:left="0" w:firstLine="720"/>
      </w:pPr>
      <w:r w:rsidRPr="00297680">
        <w:t xml:space="preserve">Regardless of what terminology is preferred by the court, it is also important to know the judge’s preferences for showing any anticipated demonstrative evidence to opposing counsel and the court before referencing it or showing it in front of the jury. Some judges are more lenient in their expectations than </w:t>
      </w:r>
      <w:proofErr w:type="gramStart"/>
      <w:r w:rsidRPr="00297680">
        <w:t>others</w:t>
      </w:r>
      <w:proofErr w:type="gramEnd"/>
      <w:r w:rsidRPr="00297680">
        <w:t xml:space="preserve">, but there is no reason to have credibility impaired due to a failure to reveal demonstrative evidence in advance in accordance with the judge’s expectations.  </w:t>
      </w:r>
    </w:p>
    <w:p w:rsidR="00A5373C" w:rsidRPr="00297680" w:rsidRDefault="00A5373C" w:rsidP="00A5373C">
      <w:pPr>
        <w:pStyle w:val="ListParagraph"/>
        <w:spacing w:line="240" w:lineRule="auto"/>
        <w:ind w:left="0" w:firstLine="720"/>
      </w:pPr>
      <w:r w:rsidRPr="00297680">
        <w:t xml:space="preserve">Judges also vary in their willingness to allow individual exhibit notebooks to be prepared for and </w:t>
      </w:r>
      <w:proofErr w:type="gramStart"/>
      <w:r w:rsidRPr="00297680">
        <w:t>provided</w:t>
      </w:r>
      <w:proofErr w:type="gramEnd"/>
      <w:r w:rsidRPr="00297680">
        <w:t xml:space="preserve"> to jurors during trial. These can be very useful tools for jurors, but find out in advance whether </w:t>
      </w:r>
      <w:r w:rsidRPr="00297680">
        <w:lastRenderedPageBreak/>
        <w:t xml:space="preserve">juror exhibit notebooks </w:t>
      </w:r>
      <w:proofErr w:type="gramStart"/>
      <w:r w:rsidRPr="00297680">
        <w:t>will be allowed</w:t>
      </w:r>
      <w:proofErr w:type="gramEnd"/>
      <w:r w:rsidRPr="00297680">
        <w:t xml:space="preserve"> if there is a plan to use them.</w:t>
      </w:r>
    </w:p>
    <w:p w:rsidR="00A5373C" w:rsidRPr="00297680" w:rsidRDefault="00A5373C" w:rsidP="00A5373C">
      <w:pPr>
        <w:pStyle w:val="ListParagraph"/>
        <w:spacing w:line="240" w:lineRule="auto"/>
        <w:ind w:left="0" w:firstLine="720"/>
      </w:pPr>
      <w:r w:rsidRPr="00297680">
        <w:t>Finally, if you plan to use technology for the visual presentation of evidence and exhibits, find out in advance what technology is already in place in the courtroom. (Courtrooms greatly vary in how they are equipped.) If there is a need to bring in additional equipment, get it cleared with the cou</w:t>
      </w:r>
      <w:r>
        <w:t xml:space="preserve">rt before trial to prevent last </w:t>
      </w:r>
      <w:r w:rsidRPr="00297680">
        <w:t xml:space="preserve">minute misunderstandings. </w:t>
      </w:r>
    </w:p>
    <w:p w:rsidR="00A5373C" w:rsidRPr="00297680" w:rsidRDefault="00A5373C" w:rsidP="00A5373C">
      <w:pPr>
        <w:pStyle w:val="ListParagraph"/>
        <w:spacing w:line="240" w:lineRule="auto"/>
        <w:ind w:left="0" w:firstLine="720"/>
      </w:pPr>
    </w:p>
    <w:p w:rsidR="00A5373C" w:rsidRPr="00297680" w:rsidRDefault="00A5373C" w:rsidP="00A5373C">
      <w:pPr>
        <w:spacing w:line="240" w:lineRule="auto"/>
        <w:rPr>
          <w:b/>
        </w:rPr>
      </w:pPr>
      <w:r w:rsidRPr="00297680">
        <w:rPr>
          <w:b/>
        </w:rPr>
        <w:tab/>
        <w:t>1-4:6</w:t>
      </w:r>
      <w:r w:rsidRPr="00297680">
        <w:rPr>
          <w:b/>
        </w:rPr>
        <w:tab/>
        <w:t xml:space="preserve">Presenting Legal Authority </w:t>
      </w:r>
      <w:r>
        <w:rPr>
          <w:b/>
        </w:rPr>
        <w:t xml:space="preserve">and Bench Briefs </w:t>
      </w:r>
      <w:proofErr w:type="gramStart"/>
      <w:r>
        <w:rPr>
          <w:b/>
        </w:rPr>
        <w:t>D</w:t>
      </w:r>
      <w:r w:rsidRPr="00297680">
        <w:rPr>
          <w:b/>
        </w:rPr>
        <w:t>uring</w:t>
      </w:r>
      <w:proofErr w:type="gramEnd"/>
      <w:r w:rsidRPr="00297680">
        <w:rPr>
          <w:b/>
        </w:rPr>
        <w:t xml:space="preserve"> Trial</w:t>
      </w:r>
    </w:p>
    <w:p w:rsidR="00A5373C" w:rsidRPr="00297680" w:rsidRDefault="00A5373C" w:rsidP="00A5373C">
      <w:pPr>
        <w:pStyle w:val="ListParagraph"/>
        <w:spacing w:line="240" w:lineRule="auto"/>
        <w:ind w:left="0" w:firstLine="720"/>
      </w:pPr>
      <w:r w:rsidRPr="00297680">
        <w:t xml:space="preserve">It is helpful to learn how individual judges prefer legal authority and bench briefs to </w:t>
      </w:r>
      <w:proofErr w:type="gramStart"/>
      <w:r w:rsidRPr="00297680">
        <w:t>be presented</w:t>
      </w:r>
      <w:proofErr w:type="gramEnd"/>
      <w:r w:rsidRPr="00297680">
        <w:t xml:space="preserve"> during trial. </w:t>
      </w:r>
      <w:proofErr w:type="gramStart"/>
      <w:r w:rsidRPr="00297680">
        <w:t>Texas state trial court judges</w:t>
      </w:r>
      <w:proofErr w:type="gramEnd"/>
      <w:r w:rsidRPr="00297680">
        <w:t xml:space="preserve">, unlike federal judges, generally operate without the benefit of briefing clerks. This means they have the burden of distilling legal research offered by attorneys without any screening or additional research from their own court staff. Senior attorneys in law firms have preferences regarding how they like legal research to </w:t>
      </w:r>
      <w:proofErr w:type="gramStart"/>
      <w:r w:rsidRPr="00297680">
        <w:t>be presented</w:t>
      </w:r>
      <w:proofErr w:type="gramEnd"/>
      <w:r w:rsidRPr="00297680">
        <w:t>. Judges do as well.</w:t>
      </w:r>
    </w:p>
    <w:p w:rsidR="00A5373C" w:rsidRPr="00297680" w:rsidRDefault="00A5373C" w:rsidP="00A5373C">
      <w:pPr>
        <w:pStyle w:val="ListParagraph"/>
        <w:spacing w:line="240" w:lineRule="auto"/>
        <w:ind w:left="0" w:firstLine="720"/>
      </w:pPr>
      <w:r w:rsidRPr="00297680">
        <w:t xml:space="preserve">Although many judges still prefer to work from paper submissions, an increasing number of judges prefer to review research online from digital submissions, with citations hyperlinked to the actual authority. </w:t>
      </w:r>
    </w:p>
    <w:p w:rsidR="00A5373C" w:rsidRPr="00297680" w:rsidRDefault="00A5373C" w:rsidP="00A5373C">
      <w:pPr>
        <w:pStyle w:val="ListParagraph"/>
        <w:spacing w:line="240" w:lineRule="auto"/>
        <w:ind w:left="0" w:firstLine="720"/>
      </w:pPr>
      <w:r w:rsidRPr="00297680">
        <w:t>In the midst of a jury trial, most judges prefer not to wade through a long, multipage bench brief while the jury is sitting in the jury box. Some judges prefer to have controlling authority copied, highlighted and presented for their consideration on a disputed issue (with a sim</w:t>
      </w:r>
      <w:r>
        <w:t xml:space="preserve">ilarly </w:t>
      </w:r>
      <w:r w:rsidRPr="00297680">
        <w:t>marked copy to opposing counsel). Other jud</w:t>
      </w:r>
      <w:r>
        <w:t>ges prefer to have a short (</w:t>
      </w:r>
      <w:proofErr w:type="gramStart"/>
      <w:r>
        <w:t xml:space="preserve">two </w:t>
      </w:r>
      <w:r w:rsidRPr="00297680">
        <w:t>page</w:t>
      </w:r>
      <w:proofErr w:type="gramEnd"/>
      <w:r w:rsidRPr="00297680">
        <w:t xml:space="preserve">) bench brief provided on the disputed issue, or a short bench brief with highlighted authority attached. </w:t>
      </w:r>
    </w:p>
    <w:p w:rsidR="00A5373C" w:rsidRPr="00297680" w:rsidRDefault="00A5373C" w:rsidP="00A5373C">
      <w:pPr>
        <w:pStyle w:val="ListParagraph"/>
        <w:spacing w:line="240" w:lineRule="auto"/>
        <w:ind w:left="0" w:firstLine="720"/>
      </w:pPr>
      <w:r w:rsidRPr="00297680">
        <w:t xml:space="preserve">Although a judge will generally accept briefing in whatever form it </w:t>
      </w:r>
      <w:proofErr w:type="gramStart"/>
      <w:r w:rsidRPr="00297680">
        <w:t>is presented</w:t>
      </w:r>
      <w:proofErr w:type="gramEnd"/>
      <w:r w:rsidRPr="00297680">
        <w:t>, a judge appreciates and respects the attorney who provides the needed authority in the form the judge finds most useful. It demonstrates diligence and attention to detail, factors that weigh on the assessment of credibility.</w:t>
      </w:r>
    </w:p>
    <w:p w:rsidR="00A5373C" w:rsidRPr="00297680" w:rsidRDefault="00A5373C" w:rsidP="00A5373C">
      <w:pPr>
        <w:pStyle w:val="ListParagraph"/>
        <w:spacing w:line="240" w:lineRule="auto"/>
        <w:ind w:left="0" w:firstLine="720"/>
      </w:pPr>
    </w:p>
    <w:p w:rsidR="00A5373C" w:rsidRPr="00297680" w:rsidRDefault="00A5373C" w:rsidP="00A5373C">
      <w:pPr>
        <w:spacing w:line="240" w:lineRule="auto"/>
        <w:contextualSpacing/>
        <w:rPr>
          <w:b/>
        </w:rPr>
      </w:pPr>
      <w:r w:rsidRPr="00297680">
        <w:rPr>
          <w:b/>
        </w:rPr>
        <w:t>1-5</w:t>
      </w:r>
      <w:r w:rsidRPr="00297680">
        <w:rPr>
          <w:b/>
        </w:rPr>
        <w:tab/>
        <w:t>RULE DIFFERENCES FOR EXPEDITED TRIALS</w:t>
      </w:r>
    </w:p>
    <w:p w:rsidR="00A5373C" w:rsidRPr="00297680" w:rsidRDefault="00A5373C" w:rsidP="00A5373C">
      <w:pPr>
        <w:spacing w:line="240" w:lineRule="auto"/>
        <w:ind w:firstLine="720"/>
        <w:contextualSpacing/>
      </w:pPr>
      <w:r w:rsidRPr="00297680">
        <w:t xml:space="preserve">Effective March 1, 2013, mandatory expedited trial rules now apply to cases filed after that date seeking only money damages of $100,000 or less. (other than cases governed by the Family Code, the Property Code, the Tax Code, or Chapter </w:t>
      </w:r>
      <w:r>
        <w:t>74 of the Texas Civil Practice and</w:t>
      </w:r>
      <w:r w:rsidRPr="00297680">
        <w:t xml:space="preserve"> Rem</w:t>
      </w:r>
      <w:r>
        <w:t>edies Code).</w:t>
      </w:r>
      <w:r w:rsidR="0060433D" w:rsidRPr="0060433D">
        <w:rPr>
          <w:rStyle w:val="FootnoteReference"/>
        </w:rPr>
        <w:t xml:space="preserve"> </w:t>
      </w:r>
      <w:r w:rsidR="0060433D" w:rsidRPr="00297680">
        <w:rPr>
          <w:rStyle w:val="FootnoteReference"/>
        </w:rPr>
        <w:footnoteReference w:id="41"/>
      </w:r>
    </w:p>
    <w:p w:rsidR="00A5373C" w:rsidRPr="00297680" w:rsidRDefault="00A5373C" w:rsidP="00A5373C">
      <w:r w:rsidRPr="00297680">
        <w:t>In Chapter 22, Special Rules Governing Expedited Trials, the specialized rules for expedited trials are itemized and discussed in detail, but some of the most important departures from traditional trial rules (after the conduct of discovery, which is also affected) are the following:</w:t>
      </w:r>
    </w:p>
    <w:p w:rsidR="00A5373C" w:rsidRPr="00297680" w:rsidRDefault="00A5373C" w:rsidP="00A5373C">
      <w:pPr>
        <w:pStyle w:val="BulletsTop"/>
      </w:pPr>
      <w:r w:rsidRPr="00297680">
        <w:t xml:space="preserve">"A pleading, amended pleading, or supplemental pleading that removes a suit from the expedited actions process may not be filed without leave of court unless it is filed before the earlier of 30 days after the discovery period is closed or 30 days before the date set for trial. Leave to amend may be granted only if good cause for filing the </w:t>
      </w:r>
      <w:bookmarkStart w:id="0" w:name="_GoBack"/>
      <w:bookmarkEnd w:id="0"/>
      <w:r w:rsidRPr="00297680">
        <w:t>pleading outweighs any prejudice to an opposing party," in which case "the court must reopen discovery."</w:t>
      </w:r>
      <w:r w:rsidRPr="00297680">
        <w:rPr>
          <w:rStyle w:val="FootnoteReference"/>
        </w:rPr>
        <w:footnoteReference w:id="42"/>
      </w:r>
      <w:r w:rsidRPr="00297680">
        <w:t xml:space="preserve"> </w:t>
      </w:r>
    </w:p>
    <w:p w:rsidR="00A5373C" w:rsidRPr="00297680" w:rsidRDefault="00A5373C" w:rsidP="00A5373C">
      <w:pPr>
        <w:pStyle w:val="BulletsNoSpace"/>
      </w:pPr>
      <w:r w:rsidRPr="00297680">
        <w:t>Trial continuances are limited to two, “not to exceed a total of 60 days.”</w:t>
      </w:r>
      <w:r w:rsidRPr="00297680">
        <w:rPr>
          <w:rStyle w:val="FootnoteReference"/>
        </w:rPr>
        <w:footnoteReference w:id="43"/>
      </w:r>
      <w:r w:rsidRPr="00297680">
        <w:t xml:space="preserve"> </w:t>
      </w:r>
    </w:p>
    <w:p w:rsidR="00A5373C" w:rsidRPr="00297680" w:rsidRDefault="00A5373C" w:rsidP="00A5373C">
      <w:pPr>
        <w:pStyle w:val="BulletsNoSpace"/>
      </w:pPr>
      <w:r w:rsidRPr="00297680">
        <w:t>“In no event may a party who prosecutes a suit under [Rule 169] recover a judgment in excess of $100,000, excluding post-judgment interest.”</w:t>
      </w:r>
      <w:r w:rsidRPr="00297680">
        <w:rPr>
          <w:rStyle w:val="FootnoteReference"/>
        </w:rPr>
        <w:footnoteReference w:id="44"/>
      </w:r>
      <w:r w:rsidRPr="00297680">
        <w:t xml:space="preserve"> </w:t>
      </w:r>
    </w:p>
    <w:p w:rsidR="00A5373C" w:rsidRPr="00297680" w:rsidRDefault="00A5373C" w:rsidP="00A5373C">
      <w:pPr>
        <w:pStyle w:val="BulletsNoSpace"/>
      </w:pPr>
      <w:r w:rsidRPr="00297680">
        <w:t xml:space="preserve">"Each side is allowed no more than eight hours to complete jury selection, opening statements, presentation of evidence, examination and cross-examination of witnesses, and closing arguments," which may be expanded to "no more than twelve hours per </w:t>
      </w:r>
      <w:r w:rsidRPr="00297680">
        <w:lastRenderedPageBreak/>
        <w:t>side" on "a showing of good cause."</w:t>
      </w:r>
      <w:r w:rsidRPr="00297680">
        <w:rPr>
          <w:rStyle w:val="FootnoteReference"/>
        </w:rPr>
        <w:footnoteReference w:id="45"/>
      </w:r>
      <w:r w:rsidRPr="00297680">
        <w:t xml:space="preserve"> </w:t>
      </w:r>
    </w:p>
    <w:p w:rsidR="00A5373C" w:rsidRPr="00297680" w:rsidRDefault="00A5373C" w:rsidP="00A5373C">
      <w:pPr>
        <w:pStyle w:val="BulletsNoSpace"/>
      </w:pPr>
      <w:r w:rsidRPr="00297680">
        <w:t>"Time spent on objections, bench conferences, bills of exception, and challenges for cause to a juror ... are not included in the time limit."</w:t>
      </w:r>
      <w:r w:rsidRPr="00297680">
        <w:rPr>
          <w:rStyle w:val="FootnoteReference"/>
        </w:rPr>
        <w:footnoteReference w:id="46"/>
      </w:r>
      <w:r w:rsidRPr="00297680">
        <w:t xml:space="preserve"> </w:t>
      </w:r>
    </w:p>
    <w:p w:rsidR="00A5373C" w:rsidRPr="00297680" w:rsidRDefault="00A5373C" w:rsidP="00A5373C">
      <w:pPr>
        <w:pStyle w:val="BulletsBottom"/>
        <w:rPr>
          <w:b/>
        </w:rPr>
      </w:pPr>
      <w:r w:rsidRPr="00297680">
        <w:t>"Unless requested by the party sponsoring the expert, a party may only challenge the admissibility of expert testimony as an objection to summary judgment evidence ... or during the trial on the merits" (with an exception for "a motion to strike for late designation").</w:t>
      </w:r>
      <w:r w:rsidRPr="00297680">
        <w:rPr>
          <w:rStyle w:val="FootnoteReference"/>
        </w:rPr>
        <w:footnoteReference w:id="47"/>
      </w:r>
    </w:p>
    <w:p w:rsidR="00A5373C" w:rsidRPr="00297680" w:rsidRDefault="00A5373C" w:rsidP="00A5373C">
      <w:pPr>
        <w:pStyle w:val="ListParagraph"/>
        <w:spacing w:line="240" w:lineRule="auto"/>
        <w:ind w:left="1440"/>
        <w:rPr>
          <w:b/>
        </w:rPr>
      </w:pPr>
    </w:p>
    <w:p w:rsidR="00A5373C" w:rsidRPr="00297680" w:rsidRDefault="00A5373C" w:rsidP="00A5373C">
      <w:pPr>
        <w:spacing w:line="240" w:lineRule="auto"/>
        <w:contextualSpacing/>
        <w:rPr>
          <w:b/>
        </w:rPr>
      </w:pPr>
      <w:r w:rsidRPr="00297680">
        <w:rPr>
          <w:b/>
        </w:rPr>
        <w:t>1-6</w:t>
      </w:r>
      <w:r w:rsidRPr="00297680">
        <w:rPr>
          <w:b/>
        </w:rPr>
        <w:tab/>
        <w:t>RULE DIFFERENCES FOR JUSTICE COURT TRIALS</w:t>
      </w:r>
    </w:p>
    <w:p w:rsidR="00A5373C" w:rsidRPr="00297680" w:rsidRDefault="00A5373C" w:rsidP="00A5373C">
      <w:pPr>
        <w:spacing w:line="240" w:lineRule="auto"/>
        <w:ind w:firstLine="720"/>
        <w:contextualSpacing/>
      </w:pPr>
      <w:r w:rsidRPr="00297680">
        <w:t>Effective August 31, 2013, new rules govern trials in Texas justice courts. The Texas Supreme Court added Rules 500-510 to the Texas Rules of Civil Procedure and repealed Rules 523-591 and 737-755.</w:t>
      </w:r>
    </w:p>
    <w:p w:rsidR="00A5373C" w:rsidRPr="00297680" w:rsidRDefault="00A5373C" w:rsidP="00A5373C">
      <w:pPr>
        <w:spacing w:line="240" w:lineRule="auto"/>
        <w:ind w:firstLine="720"/>
        <w:contextualSpacing/>
      </w:pPr>
      <w:r w:rsidRPr="00297680">
        <w:t>Texas justice courts are not courts of record (for which a court reporter is available to make a record of the evidence, objections and rulings), and judgments may be appealed to county court to be tried again (de novo).</w:t>
      </w:r>
      <w:r w:rsidRPr="00297680">
        <w:rPr>
          <w:rStyle w:val="FootnoteReference"/>
        </w:rPr>
        <w:footnoteReference w:id="48"/>
      </w:r>
      <w:r w:rsidRPr="00297680">
        <w:t xml:space="preserve"> Nevertheless, justice courts may exercise subject matter jurisdiction over cases involving up to $10,000 in controversy, providing a simplified, low-cost alternative for smaller cases.</w:t>
      </w:r>
      <w:r w:rsidRPr="00297680">
        <w:rPr>
          <w:rStyle w:val="FootnoteReference"/>
        </w:rPr>
        <w:footnoteReference w:id="49"/>
      </w:r>
      <w:r w:rsidRPr="00297680">
        <w:t xml:space="preserve"> </w:t>
      </w:r>
    </w:p>
    <w:p w:rsidR="00A5373C" w:rsidRPr="00297680" w:rsidRDefault="00A5373C" w:rsidP="00A5373C">
      <w:pPr>
        <w:spacing w:line="240" w:lineRule="auto"/>
        <w:ind w:firstLine="720"/>
        <w:contextualSpacing/>
      </w:pPr>
      <w:r>
        <w:t>In Chapter 3</w:t>
      </w:r>
      <w:r w:rsidRPr="00297680">
        <w:t xml:space="preserve">, </w:t>
      </w:r>
      <w:r>
        <w:t xml:space="preserve">New </w:t>
      </w:r>
      <w:r w:rsidRPr="00297680">
        <w:t>Rules Governing Justice Court Trials, the specialized rules and rule changes for justice court trials are itemized and discussed in detail, but some of the most important changes from the trial rules applicable in other state trial courts (after the conduct of discovery) are these:</w:t>
      </w:r>
    </w:p>
    <w:p w:rsidR="00A5373C" w:rsidRPr="00297680" w:rsidRDefault="00A5373C" w:rsidP="00A5373C">
      <w:pPr>
        <w:pStyle w:val="ListParagraph"/>
        <w:numPr>
          <w:ilvl w:val="0"/>
          <w:numId w:val="1"/>
        </w:numPr>
        <w:spacing w:line="240" w:lineRule="auto"/>
      </w:pPr>
      <w:r w:rsidRPr="00297680">
        <w:t>The Texas Rules of Evidence and Texas Rules of Civil Procedure (other than those specified for justice courts) are not generally applicable in justice court trials. Repealed Rule 523 formerly stated, "All rules governing the district and county courts shall also govern the justice courts, insofar as they can be applied, except where otherwise specifically provided by law or these rules."</w:t>
      </w:r>
      <w:r w:rsidRPr="00297680">
        <w:rPr>
          <w:rStyle w:val="FootnoteReference"/>
        </w:rPr>
        <w:footnoteReference w:id="50"/>
      </w:r>
      <w:r w:rsidRPr="00297680">
        <w:t xml:space="preserve"> Now, the new Rule 503 states, "The other Rules of Civil Procedure and the Rules of Evidence do not apply except when the judge hearing the case determines that a particular rule must be followed to ensure that the proceedings are fair to all parties; or when otherwise specifically provided by law or these rules.</w:t>
      </w:r>
      <w:r>
        <w:t>”</w:t>
      </w:r>
      <w:r w:rsidRPr="00297680">
        <w:rPr>
          <w:rStyle w:val="FootnoteReference"/>
        </w:rPr>
        <w:footnoteReference w:id="51"/>
      </w:r>
      <w:r w:rsidRPr="00297680">
        <w:t xml:space="preserve"> This change in language reverses the former presumptio</w:t>
      </w:r>
      <w:r>
        <w:t>n that the rules in other trial</w:t>
      </w:r>
      <w:r w:rsidRPr="00297680">
        <w:t xml:space="preserve"> courts also govern cases in justice courts.</w:t>
      </w:r>
    </w:p>
    <w:p w:rsidR="00A5373C" w:rsidRPr="00297680" w:rsidRDefault="00A5373C" w:rsidP="00A5373C">
      <w:pPr>
        <w:pStyle w:val="ListParagraph"/>
        <w:numPr>
          <w:ilvl w:val="0"/>
          <w:numId w:val="1"/>
        </w:numPr>
        <w:spacing w:line="240" w:lineRule="auto"/>
      </w:pPr>
      <w:r w:rsidRPr="00297680">
        <w:t>During jury selection, the judge (i.e.</w:t>
      </w:r>
      <w:r>
        <w:t>,</w:t>
      </w:r>
      <w:r w:rsidRPr="00297680">
        <w:t xml:space="preserve"> justice of the peace) </w:t>
      </w:r>
      <w:proofErr w:type="gramStart"/>
      <w:r w:rsidRPr="00297680">
        <w:t>is specifically allowed</w:t>
      </w:r>
      <w:proofErr w:type="gramEnd"/>
      <w:r w:rsidRPr="00297680">
        <w:t xml:space="preserve"> to question jurors as to their ability to serve impartially in the trial.</w:t>
      </w:r>
      <w:r w:rsidRPr="00297680">
        <w:rPr>
          <w:rStyle w:val="FootnoteReference"/>
        </w:rPr>
        <w:footnoteReference w:id="52"/>
      </w:r>
      <w:r w:rsidRPr="00297680">
        <w:t xml:space="preserve"> While judges </w:t>
      </w:r>
      <w:proofErr w:type="gramStart"/>
      <w:r w:rsidRPr="00297680">
        <w:t>are not prohibited</w:t>
      </w:r>
      <w:proofErr w:type="gramEnd"/>
      <w:r w:rsidRPr="00297680">
        <w:t xml:space="preserve"> from questioning jurors in district and county courts, there is no rule expressly giving them that right. As a practical matter, judges have greater need to question the jurors in justice court trials because commonly </w:t>
      </w:r>
      <w:proofErr w:type="gramStart"/>
      <w:r w:rsidRPr="00297680">
        <w:t>the parties are not represented by attorneys</w:t>
      </w:r>
      <w:proofErr w:type="gramEnd"/>
      <w:r w:rsidRPr="00297680">
        <w:t>. The rest of jury selection tracks the procedure in county courts.</w:t>
      </w:r>
      <w:r w:rsidRPr="00297680">
        <w:rPr>
          <w:rStyle w:val="FootnoteReference"/>
        </w:rPr>
        <w:footnoteReference w:id="53"/>
      </w:r>
      <w:r w:rsidRPr="00297680">
        <w:t xml:space="preserve"> </w:t>
      </w:r>
    </w:p>
    <w:p w:rsidR="00A5373C" w:rsidRPr="00297680" w:rsidRDefault="00A5373C" w:rsidP="00A5373C">
      <w:pPr>
        <w:pStyle w:val="ListParagraph"/>
        <w:numPr>
          <w:ilvl w:val="0"/>
          <w:numId w:val="1"/>
        </w:numPr>
        <w:spacing w:line="240" w:lineRule="auto"/>
      </w:pPr>
      <w:r w:rsidRPr="00297680">
        <w:t xml:space="preserve">In order to develop the facts of the case in justice court, the judge </w:t>
      </w:r>
      <w:proofErr w:type="gramStart"/>
      <w:r w:rsidRPr="00297680">
        <w:t>is expressly allowed</w:t>
      </w:r>
      <w:proofErr w:type="gramEnd"/>
      <w:r w:rsidRPr="00297680">
        <w:t xml:space="preserve"> by rule to question a witness or party and may summon any person or party to appear as a witness when the judge considers it necessary to ensure a correct judgment and a speedy disposition.</w:t>
      </w:r>
      <w:r w:rsidRPr="00297680">
        <w:rPr>
          <w:rStyle w:val="FootnoteReference"/>
        </w:rPr>
        <w:footnoteReference w:id="54"/>
      </w:r>
      <w:r w:rsidRPr="00297680">
        <w:t xml:space="preserve"> This gives the judge the ability to make trials more efficient.</w:t>
      </w:r>
    </w:p>
    <w:p w:rsidR="00A5373C" w:rsidRPr="00297680" w:rsidRDefault="00A5373C" w:rsidP="00A5373C">
      <w:pPr>
        <w:pStyle w:val="ListParagraph"/>
        <w:numPr>
          <w:ilvl w:val="0"/>
          <w:numId w:val="1"/>
        </w:numPr>
        <w:spacing w:line="240" w:lineRule="auto"/>
      </w:pPr>
      <w:r w:rsidRPr="00297680">
        <w:lastRenderedPageBreak/>
        <w:t>In contrast to other state trial courts, the judge in justice court is not allowed to charge the jury (</w:t>
      </w:r>
      <w:proofErr w:type="gramStart"/>
      <w:r w:rsidRPr="00297680">
        <w:t>presumably</w:t>
      </w:r>
      <w:proofErr w:type="gramEnd"/>
      <w:r w:rsidRPr="00297680">
        <w:t xml:space="preserve"> because a justice of the peace is not required to be an attorney).</w:t>
      </w:r>
      <w:r w:rsidRPr="00297680">
        <w:rPr>
          <w:rStyle w:val="FootnoteReference"/>
        </w:rPr>
        <w:footnoteReference w:id="55"/>
      </w:r>
      <w:r w:rsidRPr="00297680">
        <w:t xml:space="preserve"> This means that justice court juries simply find in favor of one party. When the suit is for the recovery of specific articles and the jury finds for the plaintiff, the jury must assess the value of each article separately, according to the evidence presented at trial.</w:t>
      </w:r>
      <w:r w:rsidRPr="00297680">
        <w:rPr>
          <w:rStyle w:val="FootnoteReference"/>
        </w:rPr>
        <w:footnoteReference w:id="56"/>
      </w:r>
      <w:r w:rsidRPr="00297680">
        <w:t xml:space="preserve"> </w:t>
      </w:r>
    </w:p>
    <w:p w:rsidR="00A5373C" w:rsidRPr="00297680" w:rsidRDefault="00A5373C" w:rsidP="00A5373C">
      <w:pPr>
        <w:pStyle w:val="ListParagraph"/>
        <w:numPr>
          <w:ilvl w:val="0"/>
          <w:numId w:val="1"/>
        </w:numPr>
        <w:spacing w:line="240" w:lineRule="auto"/>
      </w:pPr>
      <w:r w:rsidRPr="00297680">
        <w:t xml:space="preserve">In justice court, the judge </w:t>
      </w:r>
      <w:proofErr w:type="gramStart"/>
      <w:r w:rsidRPr="00297680">
        <w:t>is provided</w:t>
      </w:r>
      <w:proofErr w:type="gramEnd"/>
      <w:r w:rsidRPr="00297680">
        <w:t xml:space="preserve"> added deference in rendering a judgment. The judge may render judgment on the verdict or, if the verdict is contrary to the law or the evidence, judgment notwithstanding the verdict. Unlike other Texas trial courts, the judge may </w:t>
      </w:r>
      <w:proofErr w:type="gramStart"/>
      <w:r w:rsidRPr="00297680">
        <w:t>render</w:t>
      </w:r>
      <w:proofErr w:type="gramEnd"/>
      <w:r w:rsidRPr="00297680">
        <w:t xml:space="preserve"> a judgment notwithstanding the verdict without a motion from a party.</w:t>
      </w:r>
      <w:r w:rsidRPr="00297680">
        <w:rPr>
          <w:rStyle w:val="FootnoteReference"/>
        </w:rPr>
        <w:footnoteReference w:id="57"/>
      </w:r>
      <w:r w:rsidRPr="00297680">
        <w:t xml:space="preserve"> </w:t>
      </w:r>
    </w:p>
    <w:p w:rsidR="00A5373C" w:rsidRPr="00297680" w:rsidRDefault="00A5373C" w:rsidP="00A5373C">
      <w:pPr>
        <w:pStyle w:val="ListParagraph"/>
        <w:numPr>
          <w:ilvl w:val="0"/>
          <w:numId w:val="1"/>
        </w:numPr>
        <w:spacing w:line="240" w:lineRule="auto"/>
      </w:pPr>
      <w:r w:rsidRPr="00297680">
        <w:t xml:space="preserve">The </w:t>
      </w:r>
      <w:proofErr w:type="gramStart"/>
      <w:r w:rsidRPr="00297680">
        <w:t>time period</w:t>
      </w:r>
      <w:proofErr w:type="gramEnd"/>
      <w:r w:rsidRPr="00297680">
        <w:t xml:space="preserve"> for challenging the judgment in justice court is shorter (21 days) than in other state trial courts.</w:t>
      </w:r>
      <w:r w:rsidRPr="00297680">
        <w:rPr>
          <w:rStyle w:val="FootnoteReference"/>
        </w:rPr>
        <w:footnoteReference w:id="58"/>
      </w:r>
    </w:p>
    <w:p w:rsidR="00A5373C" w:rsidRPr="00297680" w:rsidRDefault="00A5373C" w:rsidP="00A5373C">
      <w:pPr>
        <w:pStyle w:val="ListParagraph"/>
        <w:spacing w:line="240" w:lineRule="auto"/>
        <w:ind w:left="1440"/>
      </w:pPr>
    </w:p>
    <w:p w:rsidR="00A5373C" w:rsidRPr="00297680" w:rsidRDefault="00A5373C" w:rsidP="00A5373C">
      <w:pPr>
        <w:spacing w:line="240" w:lineRule="auto"/>
      </w:pPr>
      <w:r w:rsidRPr="00297680">
        <w:rPr>
          <w:b/>
        </w:rPr>
        <w:t>1-7</w:t>
      </w:r>
      <w:r w:rsidRPr="00297680">
        <w:rPr>
          <w:b/>
        </w:rPr>
        <w:tab/>
        <w:t>RULE DIFFERENCES FOR BENCH TRIALS</w:t>
      </w:r>
    </w:p>
    <w:p w:rsidR="00A5373C" w:rsidRPr="00297680" w:rsidRDefault="00A5373C" w:rsidP="00A5373C">
      <w:pPr>
        <w:spacing w:line="240" w:lineRule="auto"/>
        <w:ind w:firstLine="720"/>
        <w:contextualSpacing/>
      </w:pPr>
      <w:r w:rsidRPr="00297680">
        <w:t>There are obviously numerous procedural differences between jury trial</w:t>
      </w:r>
      <w:r>
        <w:t>s and bench trials. In Chapter 4, Procedural</w:t>
      </w:r>
      <w:r w:rsidRPr="00297680">
        <w:t xml:space="preserve"> Rules Governing Bench Trials, the specialized rules for bench trials are itemized and discussed in detail. Clearly, with a bench trial, there is no jury selection, and factual evidence and arguments </w:t>
      </w:r>
      <w:proofErr w:type="gramStart"/>
      <w:r w:rsidRPr="00297680">
        <w:t>are addressed</w:t>
      </w:r>
      <w:proofErr w:type="gramEnd"/>
      <w:r w:rsidRPr="00297680">
        <w:t xml:space="preserve"> to the court rather than a jury. </w:t>
      </w:r>
    </w:p>
    <w:p w:rsidR="00A5373C" w:rsidRPr="00297680" w:rsidRDefault="00A5373C" w:rsidP="00A5373C">
      <w:pPr>
        <w:spacing w:line="240" w:lineRule="auto"/>
        <w:ind w:firstLine="720"/>
        <w:contextualSpacing/>
      </w:pPr>
      <w:r w:rsidRPr="00297680">
        <w:t>In addition to these differences, the following are some of the important rule differences to know which are specifically applicable to bench trials:</w:t>
      </w:r>
    </w:p>
    <w:p w:rsidR="00A5373C" w:rsidRPr="00297680" w:rsidRDefault="00A5373C" w:rsidP="00A5373C">
      <w:pPr>
        <w:pStyle w:val="ListParagraph"/>
        <w:numPr>
          <w:ilvl w:val="0"/>
          <w:numId w:val="2"/>
        </w:numPr>
        <w:spacing w:line="240" w:lineRule="auto"/>
      </w:pPr>
      <w:r w:rsidRPr="00297680">
        <w:t>In a bench trial, the judge has greater discretion in admitting evidence. Unlike in a jury trial, in which the jury weighs the evidence and determines the credibility of witnesses, "[in] a trial to the bench, the trial court [is] the exclusive judge of the credibility of the witnesses and the weight to be given to their testimony."</w:t>
      </w:r>
      <w:r w:rsidRPr="00297680">
        <w:rPr>
          <w:rStyle w:val="FootnoteReference"/>
        </w:rPr>
        <w:footnoteReference w:id="59"/>
      </w:r>
      <w:r w:rsidRPr="00297680">
        <w:t xml:space="preserve"> Because the trial judge </w:t>
      </w:r>
      <w:proofErr w:type="gramStart"/>
      <w:r w:rsidRPr="00297680">
        <w:t>is presumed</w:t>
      </w:r>
      <w:proofErr w:type="gramEnd"/>
      <w:r w:rsidRPr="00297680">
        <w:t xml:space="preserve"> to be capable of weighing or disregarding marginal evidence, judges in bench trials often admit evidence that would normally be exclud</w:t>
      </w:r>
      <w:r>
        <w:t xml:space="preserve">ed in a jury trial. As the fact </w:t>
      </w:r>
      <w:r w:rsidRPr="00297680">
        <w:t xml:space="preserve">finder, the judge need not be concerned about commenting on the weight of the evidence by the admission or exclusion of marginal evidence. Instead, the trial judge can provisionally admit evidence, and it </w:t>
      </w:r>
      <w:proofErr w:type="gramStart"/>
      <w:r w:rsidRPr="00297680">
        <w:t>is presumed</w:t>
      </w:r>
      <w:proofErr w:type="gramEnd"/>
      <w:r w:rsidRPr="00297680">
        <w:t xml:space="preserve"> on appeal that the trial judge disregarded any incompetent evidence in reaching a judgment.</w:t>
      </w:r>
      <w:r w:rsidRPr="00297680">
        <w:rPr>
          <w:rStyle w:val="FootnoteReference"/>
        </w:rPr>
        <w:footnoteReference w:id="60"/>
      </w:r>
      <w:r w:rsidRPr="00297680">
        <w:t xml:space="preserve">  Furthermore, the admission of incompetent or inadmissible evidence does not warrant reversal if there appears on the record competent evidence supporting the trial court's decision.</w:t>
      </w:r>
      <w:r w:rsidRPr="00297680">
        <w:rPr>
          <w:rStyle w:val="FootnoteReference"/>
        </w:rPr>
        <w:footnoteReference w:id="61"/>
      </w:r>
      <w:r w:rsidRPr="00297680">
        <w:t xml:space="preserve"> </w:t>
      </w:r>
    </w:p>
    <w:p w:rsidR="00A5373C" w:rsidRPr="00297680" w:rsidRDefault="00A5373C" w:rsidP="00A5373C">
      <w:pPr>
        <w:pStyle w:val="ListParagraph"/>
        <w:numPr>
          <w:ilvl w:val="0"/>
          <w:numId w:val="2"/>
        </w:numPr>
        <w:spacing w:line="240" w:lineRule="auto"/>
      </w:pPr>
      <w:r w:rsidRPr="00297680">
        <w:t>In a bench trial, the judge has discretion to admit additional evidence after rendering a verdict. "When it clearly appears to be necessary to the due administration of justice, the court may permit additional evi</w:t>
      </w:r>
      <w:r>
        <w:t>dence to be offered at any time,</w:t>
      </w:r>
      <w:r w:rsidRPr="00297680">
        <w:t xml:space="preserve"> provided that in a jury case no evidence on a controversial matter shall be received after the verdict of the jury."</w:t>
      </w:r>
      <w:r w:rsidRPr="00297680">
        <w:rPr>
          <w:rStyle w:val="FootnoteReference"/>
        </w:rPr>
        <w:footnoteReference w:id="62"/>
      </w:r>
      <w:r w:rsidRPr="00297680">
        <w:t xml:space="preserve"> There are four factors a trial court may consider when determining whether to allow admission of additional evidence: (1) whether the movant showed due diligence in obtaining the evidence; (2) whether the additional evidence is decisive; (3) whether reopening the evidence will cause undue delay; and (4) whether reopening the evidence will cause injustice.</w:t>
      </w:r>
      <w:r w:rsidRPr="00297680">
        <w:rPr>
          <w:rStyle w:val="FootnoteReference"/>
        </w:rPr>
        <w:footnoteReference w:id="63"/>
      </w:r>
      <w:r w:rsidRPr="00297680">
        <w:t xml:space="preserve"> </w:t>
      </w:r>
    </w:p>
    <w:p w:rsidR="00A5373C" w:rsidRPr="00297680" w:rsidRDefault="00A5373C" w:rsidP="00A5373C">
      <w:pPr>
        <w:pStyle w:val="ListParagraph"/>
        <w:numPr>
          <w:ilvl w:val="0"/>
          <w:numId w:val="2"/>
        </w:numPr>
        <w:spacing w:line="240" w:lineRule="auto"/>
      </w:pPr>
      <w:r w:rsidRPr="00297680">
        <w:lastRenderedPageBreak/>
        <w:t>In a bench trial, the judge has discretion regarding whether to allow or refuse oral argument.</w:t>
      </w:r>
      <w:r w:rsidRPr="00297680">
        <w:rPr>
          <w:rStyle w:val="FootnoteReference"/>
        </w:rPr>
        <w:footnoteReference w:id="64"/>
      </w:r>
      <w:r w:rsidRPr="00297680">
        <w:t xml:space="preserve"> </w:t>
      </w:r>
    </w:p>
    <w:p w:rsidR="00A5373C" w:rsidRPr="00297680" w:rsidRDefault="00A5373C" w:rsidP="00A5373C">
      <w:pPr>
        <w:pStyle w:val="ListParagraph"/>
        <w:numPr>
          <w:ilvl w:val="0"/>
          <w:numId w:val="2"/>
        </w:numPr>
        <w:spacing w:line="240" w:lineRule="auto"/>
      </w:pPr>
      <w:r w:rsidRPr="00297680">
        <w:t>Since there is no jury verdict in a bench trial, findings of fact and conclusions of law state the factual and legal grounds for the trial court's judgment. "In any case tried in the district or county court without a jury, any party may request the court to state in writing its findings of fact and conclusions of law."</w:t>
      </w:r>
      <w:r w:rsidRPr="00297680">
        <w:rPr>
          <w:rStyle w:val="FootnoteReference"/>
        </w:rPr>
        <w:footnoteReference w:id="65"/>
      </w:r>
      <w:r>
        <w:t xml:space="preserve"> </w:t>
      </w:r>
      <w:proofErr w:type="gramStart"/>
      <w:r>
        <w:t>Generally</w:t>
      </w:r>
      <w:proofErr w:type="gramEnd"/>
      <w:r>
        <w:t xml:space="preserve"> the </w:t>
      </w:r>
      <w:proofErr w:type="spellStart"/>
      <w:r>
        <w:t xml:space="preserve">non </w:t>
      </w:r>
      <w:r w:rsidRPr="00297680">
        <w:t>prevailing</w:t>
      </w:r>
      <w:proofErr w:type="spellEnd"/>
      <w:r w:rsidRPr="00297680">
        <w:t xml:space="preserve"> party will request findings of fact and conclusions of law in order to narrow the grounds for appeal. When findings of fact are filed and </w:t>
      </w:r>
      <w:proofErr w:type="gramStart"/>
      <w:r w:rsidRPr="00297680">
        <w:t>unchallenged</w:t>
      </w:r>
      <w:proofErr w:type="gramEnd"/>
      <w:r w:rsidRPr="00297680">
        <w:t xml:space="preserve"> they occupy the same position and are entitled to the same weight as the verdict of a jury.</w:t>
      </w:r>
      <w:r w:rsidRPr="00297680">
        <w:rPr>
          <w:rStyle w:val="FootnoteReference"/>
        </w:rPr>
        <w:footnoteReference w:id="66"/>
      </w:r>
      <w:r w:rsidRPr="00297680">
        <w:t xml:space="preserve"> </w:t>
      </w:r>
    </w:p>
    <w:p w:rsidR="00A5373C" w:rsidRPr="00297680" w:rsidRDefault="00A5373C" w:rsidP="00A5373C">
      <w:pPr>
        <w:spacing w:line="240" w:lineRule="auto"/>
        <w:ind w:firstLine="720"/>
      </w:pPr>
      <w:r w:rsidRPr="00297680">
        <w:t xml:space="preserve">Beyond these primary differences, "[t]he rules governing the trial of causes before a jury shall </w:t>
      </w:r>
      <w:r w:rsidRPr="00297680">
        <w:tab/>
        <w:t>govern in trials by the court in so far as applicable."</w:t>
      </w:r>
      <w:r w:rsidRPr="00297680">
        <w:rPr>
          <w:rStyle w:val="FootnoteReference"/>
        </w:rPr>
        <w:footnoteReference w:id="67"/>
      </w:r>
      <w:r w:rsidRPr="00297680">
        <w:t xml:space="preserve"> </w:t>
      </w:r>
    </w:p>
    <w:p w:rsidR="00CA6177" w:rsidRDefault="00CA6177"/>
    <w:sectPr w:rsidR="00CA61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4B" w:rsidRDefault="009D214B" w:rsidP="00A5373C">
      <w:pPr>
        <w:spacing w:line="240" w:lineRule="auto"/>
      </w:pPr>
      <w:r>
        <w:separator/>
      </w:r>
    </w:p>
  </w:endnote>
  <w:endnote w:type="continuationSeparator" w:id="0">
    <w:p w:rsidR="009D214B" w:rsidRDefault="009D214B" w:rsidP="00A53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LTStd-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4B" w:rsidRDefault="009D214B" w:rsidP="00A5373C">
      <w:pPr>
        <w:spacing w:line="240" w:lineRule="auto"/>
      </w:pPr>
      <w:r>
        <w:separator/>
      </w:r>
    </w:p>
  </w:footnote>
  <w:footnote w:type="continuationSeparator" w:id="0">
    <w:p w:rsidR="009D214B" w:rsidRDefault="009D214B" w:rsidP="00A5373C">
      <w:pPr>
        <w:spacing w:line="240" w:lineRule="auto"/>
      </w:pPr>
      <w:r>
        <w:continuationSeparator/>
      </w:r>
    </w:p>
  </w:footnote>
  <w:footnote w:id="1">
    <w:p w:rsidR="0060433D" w:rsidRPr="004870E4" w:rsidRDefault="0060433D" w:rsidP="0060433D">
      <w:pPr>
        <w:pStyle w:val="FootnoteText"/>
        <w:rPr>
          <w:sz w:val="18"/>
          <w:szCs w:val="18"/>
        </w:rPr>
      </w:pPr>
      <w:r w:rsidRPr="004870E4">
        <w:rPr>
          <w:rStyle w:val="FootnoteReference"/>
          <w:sz w:val="18"/>
          <w:szCs w:val="18"/>
        </w:rPr>
        <w:footnoteRef/>
      </w:r>
      <w:r w:rsidRPr="004870E4">
        <w:rPr>
          <w:sz w:val="18"/>
          <w:szCs w:val="18"/>
        </w:rPr>
        <w:t xml:space="preserve"> The research assistance provided by Sara Scott, Clint Flanagan, Travis Cox, Daniel </w:t>
      </w:r>
      <w:proofErr w:type="spellStart"/>
      <w:r w:rsidRPr="004870E4">
        <w:rPr>
          <w:sz w:val="18"/>
          <w:szCs w:val="18"/>
        </w:rPr>
        <w:t>Neuhoff</w:t>
      </w:r>
      <w:proofErr w:type="spellEnd"/>
      <w:r w:rsidRPr="004870E4">
        <w:rPr>
          <w:sz w:val="18"/>
          <w:szCs w:val="18"/>
        </w:rPr>
        <w:t>, An</w:t>
      </w:r>
      <w:r>
        <w:rPr>
          <w:sz w:val="18"/>
          <w:szCs w:val="18"/>
        </w:rPr>
        <w:t>derson Sessions, Aaron Williams</w:t>
      </w:r>
      <w:r w:rsidRPr="004870E4">
        <w:rPr>
          <w:sz w:val="18"/>
          <w:szCs w:val="18"/>
        </w:rPr>
        <w:t xml:space="preserve"> and Edwin Jensen for various parts of this chapter </w:t>
      </w:r>
      <w:proofErr w:type="gramStart"/>
      <w:r w:rsidRPr="004870E4">
        <w:rPr>
          <w:sz w:val="18"/>
          <w:szCs w:val="18"/>
        </w:rPr>
        <w:t>is gratefully acknowledged</w:t>
      </w:r>
      <w:proofErr w:type="gramEnd"/>
      <w:r w:rsidRPr="004870E4">
        <w:rPr>
          <w:sz w:val="18"/>
          <w:szCs w:val="18"/>
        </w:rPr>
        <w:t xml:space="preserve">. </w:t>
      </w:r>
    </w:p>
  </w:footnote>
  <w:footnote w:id="2">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i/>
          <w:sz w:val="18"/>
          <w:szCs w:val="18"/>
        </w:rPr>
        <w:t>In re Reese,</w:t>
      </w:r>
      <w:r w:rsidRPr="004870E4">
        <w:rPr>
          <w:sz w:val="18"/>
          <w:szCs w:val="18"/>
        </w:rPr>
        <w:t xml:space="preserve"> 341 S.W.3d 360, 382 (Tex. 2011) (dissent).</w:t>
      </w:r>
      <w:proofErr w:type="gramEnd"/>
    </w:p>
  </w:footnote>
  <w:footnote w:id="3">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Tex. Const. art.</w:t>
      </w:r>
      <w:proofErr w:type="gramEnd"/>
      <w:r w:rsidRPr="004870E4">
        <w:rPr>
          <w:rFonts w:eastAsia="Times New Roman"/>
          <w:sz w:val="18"/>
          <w:szCs w:val="18"/>
        </w:rPr>
        <w:t xml:space="preserve"> </w:t>
      </w:r>
      <w:proofErr w:type="gramStart"/>
      <w:r w:rsidRPr="004870E4">
        <w:rPr>
          <w:rFonts w:eastAsia="Times New Roman"/>
          <w:sz w:val="18"/>
          <w:szCs w:val="18"/>
        </w:rPr>
        <w:t>V, § 13.</w:t>
      </w:r>
      <w:proofErr w:type="gramEnd"/>
    </w:p>
  </w:footnote>
  <w:footnote w:id="4">
    <w:p w:rsidR="00A5373C" w:rsidRPr="004870E4" w:rsidRDefault="00A5373C" w:rsidP="00A5373C">
      <w:pPr>
        <w:spacing w:line="240" w:lineRule="auto"/>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Tex. Gov't Code Ann. § 62.201 (West 2012).</w:t>
      </w:r>
      <w:proofErr w:type="gramEnd"/>
      <w:r w:rsidRPr="004870E4">
        <w:rPr>
          <w:rFonts w:eastAsia="Times New Roman"/>
          <w:i/>
          <w:sz w:val="18"/>
          <w:szCs w:val="18"/>
        </w:rPr>
        <w:t xml:space="preserve"> </w:t>
      </w:r>
      <w:r w:rsidRPr="001E277E">
        <w:rPr>
          <w:rFonts w:eastAsia="Times New Roman"/>
          <w:i/>
          <w:sz w:val="18"/>
          <w:szCs w:val="18"/>
        </w:rPr>
        <w:t>See</w:t>
      </w:r>
      <w:r w:rsidRPr="004870E4">
        <w:rPr>
          <w:rFonts w:eastAsia="Times New Roman"/>
          <w:sz w:val="18"/>
          <w:szCs w:val="18"/>
        </w:rPr>
        <w:t xml:space="preserve"> “Agreement of the Parties to Proceed </w:t>
      </w:r>
      <w:proofErr w:type="gramStart"/>
      <w:r w:rsidRPr="004870E4">
        <w:rPr>
          <w:rFonts w:eastAsia="Times New Roman"/>
          <w:sz w:val="18"/>
          <w:szCs w:val="18"/>
        </w:rPr>
        <w:t>With</w:t>
      </w:r>
      <w:proofErr w:type="gramEnd"/>
      <w:r w:rsidRPr="004870E4">
        <w:rPr>
          <w:rFonts w:eastAsia="Times New Roman"/>
          <w:sz w:val="18"/>
          <w:szCs w:val="18"/>
        </w:rPr>
        <w:t xml:space="preserve"> a Smaller Jury” in subsection 6 below.</w:t>
      </w:r>
    </w:p>
  </w:footnote>
  <w:footnote w:id="5">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Tex. Const. art.</w:t>
      </w:r>
      <w:proofErr w:type="gramEnd"/>
      <w:r w:rsidRPr="004870E4">
        <w:rPr>
          <w:rFonts w:eastAsia="Times New Roman"/>
          <w:sz w:val="18"/>
          <w:szCs w:val="18"/>
        </w:rPr>
        <w:t xml:space="preserve"> </w:t>
      </w:r>
      <w:proofErr w:type="gramStart"/>
      <w:r w:rsidRPr="004870E4">
        <w:rPr>
          <w:rFonts w:eastAsia="Times New Roman"/>
          <w:sz w:val="18"/>
          <w:szCs w:val="18"/>
        </w:rPr>
        <w:t>V, § 13.</w:t>
      </w:r>
      <w:proofErr w:type="gramEnd"/>
    </w:p>
  </w:footnote>
  <w:footnote w:id="6">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 xml:space="preserve">Tex. </w:t>
      </w:r>
      <w:r>
        <w:rPr>
          <w:rFonts w:eastAsia="Times New Roman"/>
          <w:sz w:val="18"/>
          <w:szCs w:val="18"/>
        </w:rPr>
        <w:t xml:space="preserve">Code </w:t>
      </w:r>
      <w:r w:rsidRPr="004870E4">
        <w:rPr>
          <w:rFonts w:eastAsia="Times New Roman"/>
          <w:sz w:val="18"/>
          <w:szCs w:val="18"/>
        </w:rPr>
        <w:t>Crim. Proc. Code.</w:t>
      </w:r>
      <w:proofErr w:type="gramEnd"/>
      <w:r w:rsidRPr="004870E4">
        <w:rPr>
          <w:rFonts w:eastAsia="Times New Roman"/>
          <w:sz w:val="18"/>
          <w:szCs w:val="18"/>
        </w:rPr>
        <w:t xml:space="preserve"> </w:t>
      </w:r>
      <w:proofErr w:type="gramStart"/>
      <w:r w:rsidRPr="004870E4">
        <w:rPr>
          <w:rFonts w:eastAsia="Times New Roman"/>
          <w:sz w:val="18"/>
          <w:szCs w:val="18"/>
        </w:rPr>
        <w:t>Ann. art 33.01 (West 2012).</w:t>
      </w:r>
      <w:proofErr w:type="gramEnd"/>
    </w:p>
  </w:footnote>
  <w:footnote w:id="7">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i/>
          <w:sz w:val="18"/>
          <w:szCs w:val="18"/>
        </w:rPr>
        <w:t>Hill v. State</w:t>
      </w:r>
      <w:r w:rsidRPr="004870E4">
        <w:rPr>
          <w:rFonts w:eastAsia="Times New Roman"/>
          <w:sz w:val="18"/>
          <w:szCs w:val="18"/>
        </w:rPr>
        <w:t>, 90 S.W.3d 308, 314 (Tex. Crim. App. 2002).</w:t>
      </w:r>
      <w:proofErr w:type="gramEnd"/>
    </w:p>
  </w:footnote>
  <w:footnote w:id="8">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r w:rsidRPr="004870E4">
        <w:rPr>
          <w:rFonts w:eastAsia="Times New Roman"/>
          <w:sz w:val="18"/>
          <w:szCs w:val="18"/>
        </w:rPr>
        <w:t>Tex. Gov't Code Ann. § 62.201(West 2012)</w:t>
      </w:r>
    </w:p>
  </w:footnote>
  <w:footnote w:id="9">
    <w:p w:rsidR="00A5373C" w:rsidRPr="004870E4" w:rsidRDefault="00A5373C" w:rsidP="00A5373C">
      <w:pPr>
        <w:spacing w:line="240" w:lineRule="auto"/>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 xml:space="preserve">Tex. </w:t>
      </w:r>
      <w:r>
        <w:rPr>
          <w:rFonts w:eastAsia="Times New Roman"/>
          <w:sz w:val="18"/>
          <w:szCs w:val="18"/>
        </w:rPr>
        <w:t>Code.</w:t>
      </w:r>
      <w:proofErr w:type="gramEnd"/>
      <w:r>
        <w:rPr>
          <w:rFonts w:eastAsia="Times New Roman"/>
          <w:sz w:val="18"/>
          <w:szCs w:val="18"/>
        </w:rPr>
        <w:t xml:space="preserve"> </w:t>
      </w:r>
      <w:proofErr w:type="gramStart"/>
      <w:r>
        <w:rPr>
          <w:rFonts w:eastAsia="Times New Roman"/>
          <w:sz w:val="18"/>
          <w:szCs w:val="18"/>
        </w:rPr>
        <w:t>Crim. Proc</w:t>
      </w:r>
      <w:r w:rsidRPr="004870E4">
        <w:rPr>
          <w:rFonts w:eastAsia="Times New Roman"/>
          <w:sz w:val="18"/>
          <w:szCs w:val="18"/>
        </w:rPr>
        <w:t>. Ann. art.</w:t>
      </w:r>
      <w:proofErr w:type="gramEnd"/>
      <w:r w:rsidRPr="004870E4">
        <w:rPr>
          <w:rFonts w:eastAsia="Times New Roman"/>
          <w:sz w:val="18"/>
          <w:szCs w:val="18"/>
        </w:rPr>
        <w:t xml:space="preserve"> </w:t>
      </w:r>
      <w:proofErr w:type="gramStart"/>
      <w:r w:rsidRPr="004870E4">
        <w:rPr>
          <w:rFonts w:eastAsia="Times New Roman"/>
          <w:sz w:val="18"/>
          <w:szCs w:val="18"/>
        </w:rPr>
        <w:t>36.29(a).</w:t>
      </w:r>
      <w:proofErr w:type="gramEnd"/>
      <w:r w:rsidRPr="004870E4">
        <w:rPr>
          <w:rFonts w:eastAsia="Times New Roman"/>
          <w:sz w:val="18"/>
          <w:szCs w:val="18"/>
        </w:rPr>
        <w:t xml:space="preserve"> </w:t>
      </w:r>
    </w:p>
  </w:footnote>
  <w:footnote w:id="10">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r w:rsidRPr="004870E4">
        <w:rPr>
          <w:rFonts w:eastAsia="Times New Roman"/>
          <w:sz w:val="18"/>
          <w:szCs w:val="18"/>
        </w:rPr>
        <w:t>Tex. Const. art V, § 17.</w:t>
      </w:r>
    </w:p>
  </w:footnote>
  <w:footnote w:id="11">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Tex. Gov't Code Ann. § 62.301 (West 2012).</w:t>
      </w:r>
      <w:proofErr w:type="gramEnd"/>
      <w:r w:rsidRPr="004870E4">
        <w:rPr>
          <w:rFonts w:eastAsia="Times New Roman"/>
          <w:sz w:val="18"/>
          <w:szCs w:val="18"/>
        </w:rPr>
        <w:t xml:space="preserve">   </w:t>
      </w:r>
    </w:p>
  </w:footnote>
  <w:footnote w:id="12">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Tex. Gov't Code Ann. § 62.301 (West 2012).</w:t>
      </w:r>
      <w:proofErr w:type="gramEnd"/>
    </w:p>
  </w:footnote>
  <w:footnote w:id="13">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Tex. Gov't Code Ann. § 25.0007 (West 2012).</w:t>
      </w:r>
      <w:proofErr w:type="gramEnd"/>
    </w:p>
  </w:footnote>
  <w:footnote w:id="14">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Tex. Gov't Code Ann. § 25.0102 (West 2012).</w:t>
      </w:r>
      <w:proofErr w:type="gramEnd"/>
    </w:p>
  </w:footnote>
  <w:footnote w:id="15">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Tex. Gov't Code Ann. § 25.0027 (West 2012).</w:t>
      </w:r>
      <w:proofErr w:type="gramEnd"/>
    </w:p>
  </w:footnote>
  <w:footnote w:id="16">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spellStart"/>
      <w:proofErr w:type="gramStart"/>
      <w:r w:rsidRPr="004870E4">
        <w:rPr>
          <w:rFonts w:eastAsia="Times New Roman"/>
          <w:i/>
          <w:sz w:val="18"/>
          <w:szCs w:val="18"/>
        </w:rPr>
        <w:t>Rabson</w:t>
      </w:r>
      <w:proofErr w:type="spellEnd"/>
      <w:r w:rsidRPr="004870E4">
        <w:rPr>
          <w:rFonts w:eastAsia="Times New Roman"/>
          <w:i/>
          <w:sz w:val="18"/>
          <w:szCs w:val="18"/>
        </w:rPr>
        <w:t xml:space="preserve"> v. </w:t>
      </w:r>
      <w:proofErr w:type="spellStart"/>
      <w:r w:rsidRPr="004870E4">
        <w:rPr>
          <w:rFonts w:eastAsia="Times New Roman"/>
          <w:i/>
          <w:sz w:val="18"/>
          <w:szCs w:val="18"/>
        </w:rPr>
        <w:t>Rabson</w:t>
      </w:r>
      <w:proofErr w:type="spellEnd"/>
      <w:r w:rsidRPr="004870E4">
        <w:rPr>
          <w:rFonts w:eastAsia="Times New Roman"/>
          <w:sz w:val="18"/>
          <w:szCs w:val="18"/>
        </w:rPr>
        <w:t>, 906 S.W.2d 561, 563 (Tex. App.—Houston [14th Dist.] 1995, writ denied).</w:t>
      </w:r>
      <w:proofErr w:type="gramEnd"/>
    </w:p>
  </w:footnote>
  <w:footnote w:id="17">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Tex. Gov't Code Ann. § 62.301 (West 2012).</w:t>
      </w:r>
      <w:proofErr w:type="gramEnd"/>
    </w:p>
  </w:footnote>
  <w:footnote w:id="18">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Tex. Gov't Code Ann. § 62.201 (West 2012).</w:t>
      </w:r>
      <w:proofErr w:type="gramEnd"/>
      <w:r w:rsidRPr="004870E4">
        <w:rPr>
          <w:rFonts w:eastAsia="Times New Roman"/>
          <w:i/>
          <w:sz w:val="18"/>
          <w:szCs w:val="18"/>
        </w:rPr>
        <w:t xml:space="preserve"> </w:t>
      </w:r>
      <w:r w:rsidRPr="004870E4">
        <w:rPr>
          <w:rFonts w:eastAsia="Times New Roman"/>
          <w:sz w:val="18"/>
          <w:szCs w:val="18"/>
        </w:rPr>
        <w:t xml:space="preserve"> </w:t>
      </w:r>
    </w:p>
  </w:footnote>
  <w:footnote w:id="19">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i/>
          <w:sz w:val="18"/>
          <w:szCs w:val="18"/>
        </w:rPr>
        <w:t>Dickson v. J. Weingarten, Inc</w:t>
      </w:r>
      <w:r w:rsidRPr="004870E4">
        <w:rPr>
          <w:rFonts w:eastAsia="Times New Roman"/>
          <w:sz w:val="18"/>
          <w:szCs w:val="18"/>
        </w:rPr>
        <w:t>., 498 S.W.2d 388, 390-91 (Tex. Civ. App.—Houston [14th Dist.] 1973) (based upon a predecessor statute to Section 62.201).</w:t>
      </w:r>
      <w:proofErr w:type="gramEnd"/>
    </w:p>
  </w:footnote>
  <w:footnote w:id="20">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r w:rsidRPr="004870E4">
        <w:rPr>
          <w:rFonts w:eastAsia="Times New Roman"/>
          <w:i/>
          <w:sz w:val="18"/>
          <w:szCs w:val="18"/>
        </w:rPr>
        <w:t>Hatch v. State</w:t>
      </w:r>
      <w:r w:rsidRPr="004870E4">
        <w:rPr>
          <w:rFonts w:eastAsia="Times New Roman"/>
          <w:sz w:val="18"/>
          <w:szCs w:val="18"/>
        </w:rPr>
        <w:t>, 958 S.W.2d 813, 815</w:t>
      </w:r>
      <w:r>
        <w:rPr>
          <w:rFonts w:eastAsia="Times New Roman"/>
          <w:sz w:val="18"/>
          <w:szCs w:val="18"/>
        </w:rPr>
        <w:t xml:space="preserve"> (Tex. Crim. App. 1997)</w:t>
      </w:r>
      <w:r w:rsidRPr="004870E4">
        <w:rPr>
          <w:rFonts w:eastAsia="Times New Roman"/>
          <w:sz w:val="18"/>
          <w:szCs w:val="18"/>
        </w:rPr>
        <w:t>.</w:t>
      </w:r>
    </w:p>
  </w:footnote>
  <w:footnote w:id="21">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i/>
          <w:sz w:val="18"/>
          <w:szCs w:val="18"/>
        </w:rPr>
        <w:t>Willis v. State</w:t>
      </w:r>
      <w:r w:rsidRPr="004870E4">
        <w:rPr>
          <w:rFonts w:eastAsia="Times New Roman"/>
          <w:sz w:val="18"/>
          <w:szCs w:val="18"/>
        </w:rPr>
        <w:t>,</w:t>
      </w:r>
      <w:r>
        <w:rPr>
          <w:rFonts w:eastAsia="Times New Roman"/>
          <w:sz w:val="18"/>
          <w:szCs w:val="18"/>
        </w:rPr>
        <w:t xml:space="preserve"> 320 S.W.3d 853, 855 (Tex. App.</w:t>
      </w:r>
      <w:r w:rsidRPr="004870E4">
        <w:rPr>
          <w:rFonts w:eastAsia="Times New Roman"/>
          <w:sz w:val="18"/>
          <w:szCs w:val="18"/>
        </w:rPr>
        <w:t xml:space="preserve">—Eastland 2010, no pet.); </w:t>
      </w:r>
      <w:r w:rsidRPr="004870E4">
        <w:rPr>
          <w:rFonts w:eastAsia="Times New Roman"/>
          <w:i/>
          <w:sz w:val="18"/>
          <w:szCs w:val="18"/>
        </w:rPr>
        <w:t>Roberts v. State</w:t>
      </w:r>
      <w:r w:rsidRPr="004870E4">
        <w:rPr>
          <w:rFonts w:eastAsia="Times New Roman"/>
          <w:sz w:val="18"/>
          <w:szCs w:val="18"/>
        </w:rPr>
        <w:t>, 987 S.W.2d 160, 163 (Tex. App.—Houston [14th Dist.] 1999, pet. ref'd).</w:t>
      </w:r>
      <w:proofErr w:type="gramEnd"/>
    </w:p>
  </w:footnote>
  <w:footnote w:id="22">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spellStart"/>
      <w:proofErr w:type="gramStart"/>
      <w:r w:rsidRPr="004870E4">
        <w:rPr>
          <w:rFonts w:eastAsia="Times New Roman"/>
          <w:i/>
          <w:sz w:val="18"/>
          <w:szCs w:val="18"/>
        </w:rPr>
        <w:t>Auddia</w:t>
      </w:r>
      <w:proofErr w:type="spellEnd"/>
      <w:r w:rsidRPr="004870E4">
        <w:rPr>
          <w:rFonts w:eastAsia="Times New Roman"/>
          <w:i/>
          <w:sz w:val="18"/>
          <w:szCs w:val="18"/>
        </w:rPr>
        <w:t xml:space="preserve"> v. </w:t>
      </w:r>
      <w:proofErr w:type="spellStart"/>
      <w:r w:rsidRPr="004870E4">
        <w:rPr>
          <w:rFonts w:eastAsia="Times New Roman"/>
          <w:i/>
          <w:sz w:val="18"/>
          <w:szCs w:val="18"/>
        </w:rPr>
        <w:t>Hannold</w:t>
      </w:r>
      <w:proofErr w:type="spellEnd"/>
      <w:r w:rsidRPr="004870E4">
        <w:rPr>
          <w:rFonts w:eastAsia="Times New Roman"/>
          <w:sz w:val="18"/>
          <w:szCs w:val="18"/>
        </w:rPr>
        <w:t>,</w:t>
      </w:r>
      <w:r>
        <w:rPr>
          <w:rFonts w:eastAsia="Times New Roman"/>
          <w:sz w:val="18"/>
          <w:szCs w:val="18"/>
        </w:rPr>
        <w:t xml:space="preserve"> 328 S.W.3d 661, 663 (Tex. App.</w:t>
      </w:r>
      <w:r w:rsidRPr="004870E4">
        <w:rPr>
          <w:rFonts w:eastAsia="Times New Roman"/>
          <w:sz w:val="18"/>
          <w:szCs w:val="18"/>
        </w:rPr>
        <w:t>—Dallas 2010, no pet.).</w:t>
      </w:r>
      <w:proofErr w:type="gramEnd"/>
    </w:p>
  </w:footnote>
  <w:footnote w:id="23">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i/>
          <w:sz w:val="18"/>
          <w:szCs w:val="18"/>
        </w:rPr>
        <w:t>Ex parte Garza</w:t>
      </w:r>
      <w:r w:rsidRPr="004870E4">
        <w:rPr>
          <w:rFonts w:eastAsia="Times New Roman"/>
          <w:sz w:val="18"/>
          <w:szCs w:val="18"/>
        </w:rPr>
        <w:t>, 337 S.W.3d 903, 913 (Tex. Crim. App. 2011).</w:t>
      </w:r>
      <w:proofErr w:type="gramEnd"/>
    </w:p>
  </w:footnote>
  <w:footnote w:id="24">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Tex. Gov't Code Ann. § 25.0942 (West 2012).</w:t>
      </w:r>
      <w:proofErr w:type="gramEnd"/>
    </w:p>
  </w:footnote>
  <w:footnote w:id="25">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r w:rsidRPr="004870E4">
        <w:rPr>
          <w:rFonts w:eastAsia="Times New Roman"/>
          <w:sz w:val="18"/>
          <w:szCs w:val="18"/>
        </w:rPr>
        <w:t>Tex. R. Civ. P. 3a.</w:t>
      </w:r>
    </w:p>
  </w:footnote>
  <w:footnote w:id="26">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r w:rsidRPr="004870E4">
        <w:rPr>
          <w:rFonts w:eastAsia="Times New Roman"/>
          <w:i/>
          <w:sz w:val="18"/>
          <w:szCs w:val="18"/>
        </w:rPr>
        <w:t xml:space="preserve">See generally </w:t>
      </w:r>
      <w:proofErr w:type="spellStart"/>
      <w:r w:rsidRPr="004870E4">
        <w:rPr>
          <w:rFonts w:eastAsia="Times New Roman"/>
          <w:i/>
          <w:sz w:val="18"/>
          <w:szCs w:val="18"/>
        </w:rPr>
        <w:t>Mayad</w:t>
      </w:r>
      <w:proofErr w:type="spellEnd"/>
      <w:r w:rsidRPr="004870E4">
        <w:rPr>
          <w:rFonts w:eastAsia="Times New Roman"/>
          <w:i/>
          <w:sz w:val="18"/>
          <w:szCs w:val="18"/>
        </w:rPr>
        <w:t xml:space="preserve"> v. </w:t>
      </w:r>
      <w:proofErr w:type="spellStart"/>
      <w:r w:rsidRPr="004870E4">
        <w:rPr>
          <w:rFonts w:eastAsia="Times New Roman"/>
          <w:i/>
          <w:sz w:val="18"/>
          <w:szCs w:val="18"/>
        </w:rPr>
        <w:t>Rizk</w:t>
      </w:r>
      <w:proofErr w:type="spellEnd"/>
      <w:r w:rsidRPr="004870E4">
        <w:rPr>
          <w:rFonts w:eastAsia="Times New Roman"/>
          <w:sz w:val="18"/>
          <w:szCs w:val="18"/>
        </w:rPr>
        <w:t>, 5</w:t>
      </w:r>
      <w:r>
        <w:rPr>
          <w:rFonts w:eastAsia="Times New Roman"/>
          <w:sz w:val="18"/>
          <w:szCs w:val="18"/>
        </w:rPr>
        <w:t>54 S.W.2d 835 (Tex. Civ. App.—</w:t>
      </w:r>
      <w:r w:rsidRPr="004870E4">
        <w:rPr>
          <w:rFonts w:eastAsia="Times New Roman"/>
          <w:sz w:val="18"/>
          <w:szCs w:val="18"/>
        </w:rPr>
        <w:t>Houston [14th Division], 1977)</w:t>
      </w:r>
      <w:proofErr w:type="gramStart"/>
      <w:r w:rsidRPr="004870E4">
        <w:rPr>
          <w:rFonts w:eastAsia="Times New Roman"/>
          <w:sz w:val="18"/>
          <w:szCs w:val="18"/>
        </w:rPr>
        <w:t>;</w:t>
      </w:r>
      <w:proofErr w:type="gramEnd"/>
      <w:r w:rsidRPr="004870E4">
        <w:rPr>
          <w:rFonts w:eastAsia="Times New Roman"/>
          <w:sz w:val="18"/>
          <w:szCs w:val="18"/>
        </w:rPr>
        <w:t xml:space="preserve"> M</w:t>
      </w:r>
      <w:r>
        <w:rPr>
          <w:rFonts w:eastAsia="Times New Roman"/>
          <w:sz w:val="18"/>
          <w:szCs w:val="18"/>
        </w:rPr>
        <w:t>cDonald &amp; Carlson Texas Civil Procedure</w:t>
      </w:r>
      <w:r w:rsidRPr="004870E4">
        <w:rPr>
          <w:rFonts w:eastAsia="Times New Roman"/>
          <w:sz w:val="18"/>
          <w:szCs w:val="18"/>
        </w:rPr>
        <w:t>, § 1:10.</w:t>
      </w:r>
    </w:p>
  </w:footnote>
  <w:footnote w:id="27">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r w:rsidRPr="004870E4">
        <w:rPr>
          <w:rFonts w:eastAsia="Times New Roman"/>
          <w:i/>
          <w:sz w:val="18"/>
          <w:szCs w:val="18"/>
        </w:rPr>
        <w:t xml:space="preserve">See generally State v. </w:t>
      </w:r>
      <w:proofErr w:type="spellStart"/>
      <w:r w:rsidRPr="004870E4">
        <w:rPr>
          <w:rFonts w:eastAsia="Times New Roman"/>
          <w:i/>
          <w:sz w:val="18"/>
          <w:szCs w:val="18"/>
        </w:rPr>
        <w:t>Rotello</w:t>
      </w:r>
      <w:proofErr w:type="spellEnd"/>
      <w:r w:rsidRPr="004870E4">
        <w:rPr>
          <w:rFonts w:eastAsia="Times New Roman"/>
          <w:sz w:val="18"/>
          <w:szCs w:val="18"/>
        </w:rPr>
        <w:t xml:space="preserve">, 671 S.W.2d 507 (Tex. 1984); Tex. R. Civ. P. </w:t>
      </w:r>
      <w:proofErr w:type="gramStart"/>
      <w:r w:rsidRPr="004870E4">
        <w:rPr>
          <w:rFonts w:eastAsia="Times New Roman"/>
          <w:sz w:val="18"/>
          <w:szCs w:val="18"/>
        </w:rPr>
        <w:t>3a(</w:t>
      </w:r>
      <w:proofErr w:type="gramEnd"/>
      <w:r w:rsidRPr="004870E4">
        <w:rPr>
          <w:rFonts w:eastAsia="Times New Roman"/>
          <w:sz w:val="18"/>
          <w:szCs w:val="18"/>
        </w:rPr>
        <w:t>5).</w:t>
      </w:r>
    </w:p>
  </w:footnote>
  <w:footnote w:id="28">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 xml:space="preserve">Tex. Brazos </w:t>
      </w:r>
      <w:proofErr w:type="spellStart"/>
      <w:r w:rsidRPr="004870E4">
        <w:rPr>
          <w:rFonts w:eastAsia="Times New Roman"/>
          <w:sz w:val="18"/>
          <w:szCs w:val="18"/>
        </w:rPr>
        <w:t>Cty</w:t>
      </w:r>
      <w:proofErr w:type="spellEnd"/>
      <w:r w:rsidRPr="004870E4">
        <w:rPr>
          <w:rFonts w:eastAsia="Times New Roman"/>
          <w:sz w:val="18"/>
          <w:szCs w:val="18"/>
        </w:rPr>
        <w:t>.</w:t>
      </w:r>
      <w:proofErr w:type="gramEnd"/>
      <w:r w:rsidRPr="004870E4">
        <w:rPr>
          <w:rFonts w:eastAsia="Times New Roman"/>
          <w:sz w:val="18"/>
          <w:szCs w:val="18"/>
        </w:rPr>
        <w:t xml:space="preserve"> </w:t>
      </w:r>
      <w:proofErr w:type="gramStart"/>
      <w:r w:rsidRPr="004870E4">
        <w:rPr>
          <w:rFonts w:eastAsia="Times New Roman"/>
          <w:sz w:val="18"/>
          <w:szCs w:val="18"/>
        </w:rPr>
        <w:t>Rule 13.12.</w:t>
      </w:r>
      <w:proofErr w:type="gramEnd"/>
    </w:p>
  </w:footnote>
  <w:footnote w:id="29">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 xml:space="preserve">Tex. Bowie </w:t>
      </w:r>
      <w:proofErr w:type="spellStart"/>
      <w:r w:rsidRPr="004870E4">
        <w:rPr>
          <w:rFonts w:eastAsia="Times New Roman"/>
          <w:sz w:val="18"/>
          <w:szCs w:val="18"/>
        </w:rPr>
        <w:t>Cty</w:t>
      </w:r>
      <w:proofErr w:type="spellEnd"/>
      <w:r w:rsidRPr="004870E4">
        <w:rPr>
          <w:rFonts w:eastAsia="Times New Roman"/>
          <w:sz w:val="18"/>
          <w:szCs w:val="18"/>
        </w:rPr>
        <w:t>.</w:t>
      </w:r>
      <w:proofErr w:type="gramEnd"/>
      <w:r w:rsidRPr="004870E4">
        <w:rPr>
          <w:rFonts w:eastAsia="Times New Roman"/>
          <w:sz w:val="18"/>
          <w:szCs w:val="18"/>
        </w:rPr>
        <w:t xml:space="preserve"> </w:t>
      </w:r>
      <w:proofErr w:type="gramStart"/>
      <w:r w:rsidRPr="004870E4">
        <w:rPr>
          <w:rFonts w:eastAsia="Times New Roman"/>
          <w:sz w:val="18"/>
          <w:szCs w:val="18"/>
        </w:rPr>
        <w:t xml:space="preserve">Dist. &amp; </w:t>
      </w:r>
      <w:proofErr w:type="spellStart"/>
      <w:r w:rsidRPr="004870E4">
        <w:rPr>
          <w:rFonts w:eastAsia="Times New Roman"/>
          <w:sz w:val="18"/>
          <w:szCs w:val="18"/>
        </w:rPr>
        <w:t>Cty</w:t>
      </w:r>
      <w:proofErr w:type="spellEnd"/>
      <w:r w:rsidRPr="004870E4">
        <w:rPr>
          <w:rFonts w:eastAsia="Times New Roman"/>
          <w:sz w:val="18"/>
          <w:szCs w:val="18"/>
        </w:rPr>
        <w:t>.</w:t>
      </w:r>
      <w:proofErr w:type="gramEnd"/>
      <w:r w:rsidRPr="004870E4">
        <w:rPr>
          <w:rFonts w:eastAsia="Times New Roman"/>
          <w:sz w:val="18"/>
          <w:szCs w:val="18"/>
        </w:rPr>
        <w:t xml:space="preserve"> Ct. Rule 13.12.</w:t>
      </w:r>
    </w:p>
  </w:footnote>
  <w:footnote w:id="30">
    <w:p w:rsidR="00A5373C" w:rsidRPr="004870E4" w:rsidRDefault="00A5373C" w:rsidP="00A5373C">
      <w:pPr>
        <w:pStyle w:val="FootnoteText"/>
        <w:rPr>
          <w:sz w:val="18"/>
          <w:szCs w:val="18"/>
        </w:rPr>
      </w:pPr>
      <w:r w:rsidRPr="004870E4">
        <w:rPr>
          <w:rStyle w:val="FootnoteReference"/>
          <w:sz w:val="18"/>
          <w:szCs w:val="18"/>
        </w:rPr>
        <w:footnoteRef/>
      </w:r>
      <w:r w:rsidR="0060433D">
        <w:t>Osler</w:t>
      </w:r>
      <w:r w:rsidRPr="00673023">
        <w:t xml:space="preserve"> McCarthy, Texas Supreme Court Advisory,</w:t>
      </w:r>
      <w:r w:rsidRPr="004870E4">
        <w:rPr>
          <w:rFonts w:eastAsia="Times New Roman"/>
          <w:sz w:val="18"/>
          <w:szCs w:val="18"/>
        </w:rPr>
        <w:t xml:space="preserve"> http://www.supreme.courts.state.tx.us/advisories/rules_archival_project_120910.htm (December </w:t>
      </w:r>
      <w:proofErr w:type="gramStart"/>
      <w:r w:rsidRPr="004870E4">
        <w:rPr>
          <w:rFonts w:eastAsia="Times New Roman"/>
          <w:sz w:val="18"/>
          <w:szCs w:val="18"/>
        </w:rPr>
        <w:t>9th</w:t>
      </w:r>
      <w:proofErr w:type="gramEnd"/>
      <w:r w:rsidRPr="004870E4">
        <w:rPr>
          <w:rFonts w:eastAsia="Times New Roman"/>
          <w:sz w:val="18"/>
          <w:szCs w:val="18"/>
        </w:rPr>
        <w:t>, 2010).</w:t>
      </w:r>
    </w:p>
  </w:footnote>
  <w:footnote w:id="31">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Pr>
          <w:rFonts w:eastAsia="Times New Roman"/>
          <w:sz w:val="18"/>
          <w:szCs w:val="18"/>
        </w:rPr>
        <w:t>Texas Supreme Court</w:t>
      </w:r>
      <w:r w:rsidRPr="004870E4">
        <w:rPr>
          <w:rFonts w:eastAsia="Times New Roman"/>
          <w:sz w:val="18"/>
          <w:szCs w:val="18"/>
        </w:rPr>
        <w:t>, http://www.supreme.courts.state.tx.us/rules/local.asp (last updated 7/16/13).</w:t>
      </w:r>
      <w:proofErr w:type="gramEnd"/>
    </w:p>
  </w:footnote>
  <w:footnote w:id="32">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Tex. R. Civ. P. 3a (1), (2) &amp; (6); </w:t>
      </w:r>
      <w:proofErr w:type="spellStart"/>
      <w:r w:rsidRPr="004870E4">
        <w:rPr>
          <w:i/>
          <w:sz w:val="18"/>
          <w:szCs w:val="18"/>
        </w:rPr>
        <w:t>Esty</w:t>
      </w:r>
      <w:proofErr w:type="spellEnd"/>
      <w:r w:rsidRPr="004870E4">
        <w:rPr>
          <w:i/>
          <w:sz w:val="18"/>
          <w:szCs w:val="18"/>
        </w:rPr>
        <w:t xml:space="preserve"> v. Beal Bank S.S.B</w:t>
      </w:r>
      <w:r w:rsidRPr="004870E4">
        <w:rPr>
          <w:sz w:val="18"/>
          <w:szCs w:val="18"/>
        </w:rPr>
        <w:t>.</w:t>
      </w:r>
      <w:r>
        <w:rPr>
          <w:sz w:val="18"/>
          <w:szCs w:val="18"/>
        </w:rPr>
        <w:t>, 298 S.W.3d 280, 297 (</w:t>
      </w:r>
      <w:proofErr w:type="spellStart"/>
      <w:r>
        <w:rPr>
          <w:sz w:val="18"/>
          <w:szCs w:val="18"/>
        </w:rPr>
        <w:t>Tex.App</w:t>
      </w:r>
      <w:proofErr w:type="spellEnd"/>
      <w:r>
        <w:rPr>
          <w:sz w:val="18"/>
          <w:szCs w:val="18"/>
        </w:rPr>
        <w:t>.—</w:t>
      </w:r>
      <w:r w:rsidRPr="004870E4">
        <w:rPr>
          <w:sz w:val="18"/>
          <w:szCs w:val="18"/>
        </w:rPr>
        <w:t>Dallas 2009) (local rule requiring an earlier service of documents than mandated by Texas Rules of Civil Procedure could not be used to invalidate a summary judgment response).</w:t>
      </w:r>
    </w:p>
  </w:footnote>
  <w:footnote w:id="33">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r w:rsidRPr="004870E4">
        <w:rPr>
          <w:i/>
          <w:sz w:val="18"/>
          <w:szCs w:val="18"/>
        </w:rPr>
        <w:t>See</w:t>
      </w:r>
      <w:r w:rsidRPr="004870E4">
        <w:rPr>
          <w:sz w:val="18"/>
          <w:szCs w:val="18"/>
        </w:rPr>
        <w:t xml:space="preserve"> Tex. R. </w:t>
      </w:r>
      <w:proofErr w:type="spellStart"/>
      <w:r w:rsidRPr="004870E4">
        <w:rPr>
          <w:sz w:val="18"/>
          <w:szCs w:val="18"/>
        </w:rPr>
        <w:t>Evid</w:t>
      </w:r>
      <w:proofErr w:type="spellEnd"/>
      <w:r w:rsidRPr="004870E4">
        <w:rPr>
          <w:sz w:val="18"/>
          <w:szCs w:val="18"/>
        </w:rPr>
        <w:t xml:space="preserve">. </w:t>
      </w:r>
      <w:proofErr w:type="gramStart"/>
      <w:r w:rsidRPr="004870E4">
        <w:rPr>
          <w:sz w:val="18"/>
          <w:szCs w:val="18"/>
        </w:rPr>
        <w:t>611</w:t>
      </w:r>
      <w:proofErr w:type="gramEnd"/>
      <w:r w:rsidRPr="004870E4">
        <w:rPr>
          <w:sz w:val="18"/>
          <w:szCs w:val="18"/>
        </w:rPr>
        <w:t xml:space="preserve">, stating that a court shall exercise reasonable control over the mode and order of interrogating witnesses and presenting evidence; </w:t>
      </w:r>
      <w:r w:rsidRPr="00673023">
        <w:rPr>
          <w:i/>
          <w:sz w:val="18"/>
          <w:szCs w:val="18"/>
        </w:rPr>
        <w:t>but see</w:t>
      </w:r>
      <w:r w:rsidRPr="004870E4">
        <w:rPr>
          <w:sz w:val="18"/>
          <w:szCs w:val="18"/>
        </w:rPr>
        <w:t xml:space="preserve"> Tex. R. Civ. P. 265, providing the order in which parties will make opening statements and present evidence.</w:t>
      </w:r>
    </w:p>
  </w:footnote>
  <w:footnote w:id="34">
    <w:p w:rsidR="00A5373C" w:rsidRPr="004870E4" w:rsidRDefault="00A5373C" w:rsidP="00A5373C">
      <w:pPr>
        <w:spacing w:line="240" w:lineRule="auto"/>
        <w:contextualSpacing/>
        <w:rPr>
          <w:sz w:val="18"/>
          <w:szCs w:val="18"/>
        </w:rPr>
      </w:pPr>
      <w:r w:rsidRPr="004870E4">
        <w:rPr>
          <w:rStyle w:val="FootnoteReference"/>
          <w:sz w:val="18"/>
          <w:szCs w:val="18"/>
        </w:rPr>
        <w:footnoteRef/>
      </w:r>
      <w:r w:rsidRPr="004870E4">
        <w:rPr>
          <w:sz w:val="18"/>
          <w:szCs w:val="18"/>
        </w:rPr>
        <w:t xml:space="preserve"> The import of answers to these questions </w:t>
      </w:r>
      <w:proofErr w:type="gramStart"/>
      <w:r w:rsidRPr="004870E4">
        <w:rPr>
          <w:sz w:val="18"/>
          <w:szCs w:val="18"/>
        </w:rPr>
        <w:t>is discussed</w:t>
      </w:r>
      <w:proofErr w:type="gramEnd"/>
      <w:r w:rsidRPr="004870E4">
        <w:rPr>
          <w:sz w:val="18"/>
          <w:szCs w:val="18"/>
        </w:rPr>
        <w:t xml:space="preserve"> further in Chapter 7.</w:t>
      </w:r>
    </w:p>
  </w:footnote>
  <w:footnote w:id="35">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Tex. R. Civ. P. 248.</w:t>
      </w:r>
    </w:p>
  </w:footnote>
  <w:footnote w:id="36">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Tex. R. Civ. P. 166.</w:t>
      </w:r>
    </w:p>
  </w:footnote>
  <w:footnote w:id="37">
    <w:p w:rsidR="00A5373C" w:rsidRPr="004870E4" w:rsidRDefault="00A5373C" w:rsidP="00A5373C">
      <w:pPr>
        <w:spacing w:line="240" w:lineRule="auto"/>
        <w:rPr>
          <w:sz w:val="18"/>
          <w:szCs w:val="18"/>
        </w:rPr>
      </w:pPr>
      <w:r w:rsidRPr="004870E4">
        <w:rPr>
          <w:rStyle w:val="FootnoteReference"/>
          <w:sz w:val="18"/>
          <w:szCs w:val="18"/>
        </w:rPr>
        <w:footnoteRef/>
      </w:r>
      <w:r w:rsidRPr="004870E4">
        <w:rPr>
          <w:sz w:val="18"/>
          <w:szCs w:val="18"/>
        </w:rPr>
        <w:t xml:space="preserve"> </w:t>
      </w:r>
      <w:r w:rsidRPr="004870E4">
        <w:rPr>
          <w:i/>
          <w:sz w:val="18"/>
          <w:szCs w:val="18"/>
        </w:rPr>
        <w:t>Hyundai Motor Co. v. Vasquez</w:t>
      </w:r>
      <w:r w:rsidRPr="004870E4">
        <w:rPr>
          <w:sz w:val="18"/>
          <w:szCs w:val="18"/>
        </w:rPr>
        <w:t xml:space="preserve">, </w:t>
      </w:r>
      <w:proofErr w:type="gramStart"/>
      <w:r w:rsidRPr="004870E4">
        <w:rPr>
          <w:sz w:val="18"/>
          <w:szCs w:val="18"/>
        </w:rPr>
        <w:t>189 S.W.3d 743, 753-754 (Tex. 2006)</w:t>
      </w:r>
      <w:proofErr w:type="gramEnd"/>
      <w:r w:rsidRPr="004870E4">
        <w:rPr>
          <w:sz w:val="18"/>
          <w:szCs w:val="18"/>
        </w:rPr>
        <w:t>.</w:t>
      </w:r>
    </w:p>
    <w:p w:rsidR="00A5373C" w:rsidRPr="004870E4" w:rsidRDefault="00A5373C" w:rsidP="00A5373C">
      <w:pPr>
        <w:pStyle w:val="FootnoteText"/>
        <w:rPr>
          <w:sz w:val="18"/>
          <w:szCs w:val="18"/>
        </w:rPr>
      </w:pPr>
    </w:p>
  </w:footnote>
  <w:footnote w:id="38">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r w:rsidRPr="004870E4">
        <w:rPr>
          <w:i/>
          <w:sz w:val="18"/>
          <w:szCs w:val="18"/>
        </w:rPr>
        <w:t>See</w:t>
      </w:r>
      <w:r w:rsidRPr="004870E4">
        <w:rPr>
          <w:sz w:val="18"/>
          <w:szCs w:val="18"/>
        </w:rPr>
        <w:t xml:space="preserve">, </w:t>
      </w:r>
      <w:r w:rsidRPr="004870E4">
        <w:rPr>
          <w:i/>
          <w:sz w:val="18"/>
          <w:szCs w:val="18"/>
        </w:rPr>
        <w:t>e.g</w:t>
      </w:r>
      <w:r w:rsidRPr="004870E4">
        <w:rPr>
          <w:sz w:val="18"/>
          <w:szCs w:val="18"/>
        </w:rPr>
        <w:t xml:space="preserve">., </w:t>
      </w:r>
      <w:proofErr w:type="spellStart"/>
      <w:r w:rsidRPr="004870E4">
        <w:rPr>
          <w:i/>
          <w:sz w:val="18"/>
          <w:szCs w:val="18"/>
        </w:rPr>
        <w:t>Vanegas</w:t>
      </w:r>
      <w:proofErr w:type="spellEnd"/>
      <w:r w:rsidRPr="004870E4">
        <w:rPr>
          <w:i/>
          <w:sz w:val="18"/>
          <w:szCs w:val="18"/>
        </w:rPr>
        <w:t xml:space="preserve"> v. State</w:t>
      </w:r>
      <w:r w:rsidRPr="004870E4">
        <w:rPr>
          <w:sz w:val="18"/>
          <w:szCs w:val="18"/>
        </w:rPr>
        <w:t>, 2009 WL 96078</w:t>
      </w:r>
      <w:r>
        <w:rPr>
          <w:sz w:val="18"/>
          <w:szCs w:val="18"/>
        </w:rPr>
        <w:t>6, *6 (Tex. App.–Texarkana 2009</w:t>
      </w:r>
      <w:proofErr w:type="gramStart"/>
      <w:r>
        <w:rPr>
          <w:sz w:val="18"/>
          <w:szCs w:val="18"/>
        </w:rPr>
        <w:t>)(</w:t>
      </w:r>
      <w:proofErr w:type="gramEnd"/>
      <w:r w:rsidRPr="004870E4">
        <w:rPr>
          <w:sz w:val="18"/>
          <w:szCs w:val="18"/>
        </w:rPr>
        <w:t>unpublished opinion).</w:t>
      </w:r>
    </w:p>
  </w:footnote>
  <w:footnote w:id="39">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sz w:val="18"/>
          <w:szCs w:val="18"/>
        </w:rPr>
        <w:t xml:space="preserve">Tex. </w:t>
      </w:r>
      <w:r>
        <w:rPr>
          <w:rFonts w:eastAsia="Times New Roman"/>
          <w:sz w:val="18"/>
          <w:szCs w:val="18"/>
        </w:rPr>
        <w:t>Code Crim. Proc</w:t>
      </w:r>
      <w:r w:rsidRPr="004870E4">
        <w:rPr>
          <w:rFonts w:eastAsia="Times New Roman"/>
          <w:sz w:val="18"/>
          <w:szCs w:val="18"/>
        </w:rPr>
        <w:t>. Ann. art 36.25.</w:t>
      </w:r>
      <w:proofErr w:type="gramEnd"/>
    </w:p>
  </w:footnote>
  <w:footnote w:id="40">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For further discussion of use of demonstrative exhibits, see the subsection “Use of Demonstrative Exhi</w:t>
      </w:r>
      <w:r>
        <w:rPr>
          <w:sz w:val="18"/>
          <w:szCs w:val="18"/>
        </w:rPr>
        <w:t xml:space="preserve">bits </w:t>
      </w:r>
      <w:proofErr w:type="gramStart"/>
      <w:r>
        <w:rPr>
          <w:sz w:val="18"/>
          <w:szCs w:val="18"/>
        </w:rPr>
        <w:t>With</w:t>
      </w:r>
      <w:proofErr w:type="gramEnd"/>
      <w:r>
        <w:rPr>
          <w:sz w:val="18"/>
          <w:szCs w:val="18"/>
        </w:rPr>
        <w:t xml:space="preserve"> Experts” in Chapter 11</w:t>
      </w:r>
      <w:r w:rsidRPr="004870E4">
        <w:rPr>
          <w:sz w:val="18"/>
          <w:szCs w:val="18"/>
        </w:rPr>
        <w:t>.</w:t>
      </w:r>
    </w:p>
  </w:footnote>
  <w:footnote w:id="41">
    <w:p w:rsidR="0060433D" w:rsidRPr="004870E4" w:rsidRDefault="0060433D" w:rsidP="0060433D">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Pr>
          <w:sz w:val="18"/>
          <w:szCs w:val="18"/>
        </w:rPr>
        <w:t>Texas Rules of Civil Procedure</w:t>
      </w:r>
      <w:r w:rsidRPr="004870E4">
        <w:rPr>
          <w:sz w:val="18"/>
          <w:szCs w:val="18"/>
        </w:rPr>
        <w:t xml:space="preserve"> 169.</w:t>
      </w:r>
      <w:proofErr w:type="gramEnd"/>
    </w:p>
  </w:footnote>
  <w:footnote w:id="42">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Pr>
          <w:sz w:val="18"/>
          <w:szCs w:val="18"/>
        </w:rPr>
        <w:t>Texas Rules of Civil Procedure</w:t>
      </w:r>
      <w:r w:rsidRPr="004870E4">
        <w:rPr>
          <w:sz w:val="18"/>
          <w:szCs w:val="18"/>
        </w:rPr>
        <w:t xml:space="preserve"> 169(c).</w:t>
      </w:r>
      <w:proofErr w:type="gramEnd"/>
    </w:p>
  </w:footnote>
  <w:footnote w:id="43">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Pr>
          <w:sz w:val="18"/>
          <w:szCs w:val="18"/>
        </w:rPr>
        <w:t>Texas Rules of Civil Procedure</w:t>
      </w:r>
      <w:r w:rsidRPr="004870E4">
        <w:rPr>
          <w:sz w:val="18"/>
          <w:szCs w:val="18"/>
        </w:rPr>
        <w:t xml:space="preserve"> 169(d).</w:t>
      </w:r>
      <w:proofErr w:type="gramEnd"/>
    </w:p>
  </w:footnote>
  <w:footnote w:id="44">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Pr>
          <w:sz w:val="18"/>
          <w:szCs w:val="18"/>
        </w:rPr>
        <w:t>Texas Rules of Civil Procedure</w:t>
      </w:r>
      <w:r w:rsidRPr="004870E4">
        <w:rPr>
          <w:sz w:val="18"/>
          <w:szCs w:val="18"/>
        </w:rPr>
        <w:t xml:space="preserve"> 169(b).</w:t>
      </w:r>
      <w:proofErr w:type="gramEnd"/>
    </w:p>
  </w:footnote>
  <w:footnote w:id="45">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Pr>
          <w:sz w:val="18"/>
          <w:szCs w:val="18"/>
        </w:rPr>
        <w:t>Texas Rules of Civil Procedure</w:t>
      </w:r>
      <w:r w:rsidRPr="004870E4">
        <w:rPr>
          <w:sz w:val="18"/>
          <w:szCs w:val="18"/>
        </w:rPr>
        <w:t xml:space="preserve"> 169(d).</w:t>
      </w:r>
      <w:proofErr w:type="gramEnd"/>
    </w:p>
  </w:footnote>
  <w:footnote w:id="46">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Pr>
          <w:sz w:val="18"/>
          <w:szCs w:val="18"/>
        </w:rPr>
        <w:t>Texas Rules of Civil Procedure</w:t>
      </w:r>
      <w:r w:rsidRPr="004870E4">
        <w:rPr>
          <w:sz w:val="18"/>
          <w:szCs w:val="18"/>
        </w:rPr>
        <w:t xml:space="preserve"> 169(d).</w:t>
      </w:r>
      <w:proofErr w:type="gramEnd"/>
    </w:p>
  </w:footnote>
  <w:footnote w:id="47">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Pr>
          <w:sz w:val="18"/>
          <w:szCs w:val="18"/>
        </w:rPr>
        <w:t>Texas Rules of Civil Procedure</w:t>
      </w:r>
      <w:r w:rsidRPr="004870E4">
        <w:rPr>
          <w:sz w:val="18"/>
          <w:szCs w:val="18"/>
        </w:rPr>
        <w:t xml:space="preserve"> 169(d).</w:t>
      </w:r>
      <w:proofErr w:type="gramEnd"/>
    </w:p>
  </w:footnote>
  <w:footnote w:id="48">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sz w:val="18"/>
          <w:szCs w:val="18"/>
        </w:rPr>
        <w:t>Tex. R. Civ. P. 506.1, 506.3.</w:t>
      </w:r>
      <w:proofErr w:type="gramEnd"/>
    </w:p>
  </w:footnote>
  <w:footnote w:id="49">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Tex. R. Civ. P. 500.3.</w:t>
      </w:r>
    </w:p>
  </w:footnote>
  <w:footnote w:id="50">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Tex. R. Civ. P. 523 (repealed).</w:t>
      </w:r>
    </w:p>
  </w:footnote>
  <w:footnote w:id="51">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sz w:val="18"/>
          <w:szCs w:val="18"/>
        </w:rPr>
        <w:t>Tex. R. Civ. P. 500.3(e).</w:t>
      </w:r>
      <w:proofErr w:type="gramEnd"/>
    </w:p>
  </w:footnote>
  <w:footnote w:id="52">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sz w:val="18"/>
          <w:szCs w:val="18"/>
        </w:rPr>
        <w:t>Tex. R. Civ. P. 504.2(c).</w:t>
      </w:r>
      <w:proofErr w:type="gramEnd"/>
    </w:p>
  </w:footnote>
  <w:footnote w:id="53">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Tex. R. Civ. P. 504.2.</w:t>
      </w:r>
    </w:p>
  </w:footnote>
  <w:footnote w:id="54">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Tex. R. Civ. P. 500.6.</w:t>
      </w:r>
    </w:p>
  </w:footnote>
  <w:footnote w:id="55">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Tex. R. Civ. P. 504.3.</w:t>
      </w:r>
    </w:p>
  </w:footnote>
  <w:footnote w:id="56">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Tex. R. Civ. P. 504.4.</w:t>
      </w:r>
    </w:p>
  </w:footnote>
  <w:footnote w:id="57">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Tex. R. Civ. P. 505.1.</w:t>
      </w:r>
    </w:p>
  </w:footnote>
  <w:footnote w:id="58">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sz w:val="18"/>
          <w:szCs w:val="18"/>
        </w:rPr>
        <w:t>Tex. R. Civ. P. 506.1, 507.1.</w:t>
      </w:r>
      <w:proofErr w:type="gramEnd"/>
    </w:p>
  </w:footnote>
  <w:footnote w:id="59">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r>
        <w:rPr>
          <w:i/>
          <w:sz w:val="18"/>
          <w:szCs w:val="18"/>
        </w:rPr>
        <w:t>Hazel</w:t>
      </w:r>
      <w:r w:rsidRPr="004870E4">
        <w:rPr>
          <w:i/>
          <w:sz w:val="18"/>
          <w:szCs w:val="18"/>
        </w:rPr>
        <w:t xml:space="preserve">wood v. </w:t>
      </w:r>
      <w:proofErr w:type="spellStart"/>
      <w:r w:rsidRPr="004870E4">
        <w:rPr>
          <w:i/>
          <w:sz w:val="18"/>
          <w:szCs w:val="18"/>
        </w:rPr>
        <w:t>Lafavers</w:t>
      </w:r>
      <w:proofErr w:type="spellEnd"/>
      <w:r w:rsidRPr="004870E4">
        <w:rPr>
          <w:sz w:val="18"/>
          <w:szCs w:val="18"/>
        </w:rPr>
        <w:t>, 394 S.W.3d 620, 628 (Tex.</w:t>
      </w:r>
      <w:r>
        <w:rPr>
          <w:sz w:val="18"/>
          <w:szCs w:val="18"/>
        </w:rPr>
        <w:t xml:space="preserve"> App.—</w:t>
      </w:r>
      <w:r w:rsidRPr="004870E4">
        <w:rPr>
          <w:sz w:val="18"/>
          <w:szCs w:val="18"/>
        </w:rPr>
        <w:t>El Paso 2012).</w:t>
      </w:r>
    </w:p>
  </w:footnote>
  <w:footnote w:id="60">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i/>
          <w:sz w:val="18"/>
          <w:szCs w:val="18"/>
        </w:rPr>
        <w:t>Tex</w:t>
      </w:r>
      <w:r>
        <w:rPr>
          <w:i/>
          <w:sz w:val="18"/>
          <w:szCs w:val="18"/>
        </w:rPr>
        <w:t>as</w:t>
      </w:r>
      <w:r w:rsidRPr="004870E4">
        <w:rPr>
          <w:i/>
          <w:sz w:val="18"/>
          <w:szCs w:val="18"/>
        </w:rPr>
        <w:t xml:space="preserve"> Alco.</w:t>
      </w:r>
      <w:proofErr w:type="gramEnd"/>
      <w:r w:rsidRPr="004870E4">
        <w:rPr>
          <w:i/>
          <w:sz w:val="18"/>
          <w:szCs w:val="18"/>
        </w:rPr>
        <w:t xml:space="preserve"> Bev. </w:t>
      </w:r>
      <w:proofErr w:type="spellStart"/>
      <w:proofErr w:type="gramStart"/>
      <w:r w:rsidRPr="004870E4">
        <w:rPr>
          <w:i/>
          <w:sz w:val="18"/>
          <w:szCs w:val="18"/>
        </w:rPr>
        <w:t>Comm'n</w:t>
      </w:r>
      <w:proofErr w:type="spellEnd"/>
      <w:r w:rsidRPr="004870E4">
        <w:rPr>
          <w:i/>
          <w:sz w:val="18"/>
          <w:szCs w:val="18"/>
        </w:rPr>
        <w:t xml:space="preserve"> v. Sanchez</w:t>
      </w:r>
      <w:r>
        <w:rPr>
          <w:sz w:val="18"/>
          <w:szCs w:val="18"/>
        </w:rPr>
        <w:t>, 96 S.W.3d 483, 488 (Tex. App.—</w:t>
      </w:r>
      <w:r w:rsidRPr="004870E4">
        <w:rPr>
          <w:sz w:val="18"/>
          <w:szCs w:val="18"/>
        </w:rPr>
        <w:t>Austin 2002, no pet.).</w:t>
      </w:r>
      <w:proofErr w:type="gramEnd"/>
    </w:p>
  </w:footnote>
  <w:footnote w:id="61">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i/>
          <w:sz w:val="18"/>
          <w:szCs w:val="18"/>
        </w:rPr>
        <w:t>In re R.M.T</w:t>
      </w:r>
      <w:r>
        <w:rPr>
          <w:sz w:val="18"/>
          <w:szCs w:val="18"/>
        </w:rPr>
        <w:t xml:space="preserve">., 352 S.W.3d 12, 26 at </w:t>
      </w:r>
      <w:r w:rsidRPr="004870E4">
        <w:rPr>
          <w:sz w:val="18"/>
          <w:szCs w:val="18"/>
        </w:rPr>
        <w:t>fn20 (Tex.</w:t>
      </w:r>
      <w:r>
        <w:rPr>
          <w:sz w:val="18"/>
          <w:szCs w:val="18"/>
        </w:rPr>
        <w:t xml:space="preserve"> App.—</w:t>
      </w:r>
      <w:r w:rsidRPr="004870E4">
        <w:rPr>
          <w:sz w:val="18"/>
          <w:szCs w:val="18"/>
        </w:rPr>
        <w:t>Texarkana 2011).</w:t>
      </w:r>
      <w:proofErr w:type="gramEnd"/>
    </w:p>
  </w:footnote>
  <w:footnote w:id="62">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Tex. R. Civ. P. 270.</w:t>
      </w:r>
    </w:p>
  </w:footnote>
  <w:footnote w:id="63">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r w:rsidRPr="004870E4">
        <w:rPr>
          <w:i/>
          <w:sz w:val="18"/>
          <w:szCs w:val="18"/>
        </w:rPr>
        <w:t>Moore v. Jet Stream Investments, Ltd</w:t>
      </w:r>
      <w:r w:rsidRPr="004870E4">
        <w:rPr>
          <w:sz w:val="18"/>
          <w:szCs w:val="18"/>
        </w:rPr>
        <w:t>.,</w:t>
      </w:r>
      <w:r>
        <w:rPr>
          <w:sz w:val="18"/>
          <w:szCs w:val="18"/>
        </w:rPr>
        <w:t xml:space="preserve"> 315 S.W.3d 195, 201 (Tex. App.—</w:t>
      </w:r>
      <w:r w:rsidRPr="004870E4">
        <w:rPr>
          <w:sz w:val="18"/>
          <w:szCs w:val="18"/>
        </w:rPr>
        <w:t>Texarkana 2010, pet. denied).</w:t>
      </w:r>
    </w:p>
  </w:footnote>
  <w:footnote w:id="64">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gramStart"/>
      <w:r w:rsidRPr="004870E4">
        <w:rPr>
          <w:rFonts w:eastAsia="Times New Roman"/>
          <w:i/>
          <w:sz w:val="18"/>
          <w:szCs w:val="18"/>
        </w:rPr>
        <w:t>City of Corpus Christi v. Krause</w:t>
      </w:r>
      <w:r w:rsidRPr="004870E4">
        <w:rPr>
          <w:rFonts w:eastAsia="Times New Roman"/>
          <w:sz w:val="18"/>
          <w:szCs w:val="18"/>
        </w:rPr>
        <w:t>, 584 S.W.2d 325, 330 (Tex. Civ. App.—Corpus Christi 1979</w:t>
      </w:r>
      <w:r>
        <w:rPr>
          <w:rFonts w:eastAsia="Times New Roman"/>
          <w:sz w:val="18"/>
          <w:szCs w:val="18"/>
        </w:rPr>
        <w:t>, no writ</w:t>
      </w:r>
      <w:r w:rsidRPr="004870E4">
        <w:rPr>
          <w:rFonts w:eastAsia="Times New Roman"/>
          <w:sz w:val="18"/>
          <w:szCs w:val="18"/>
        </w:rPr>
        <w:t>).</w:t>
      </w:r>
      <w:proofErr w:type="gramEnd"/>
    </w:p>
  </w:footnote>
  <w:footnote w:id="65">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Tex. R. Civ. P. 296.</w:t>
      </w:r>
    </w:p>
  </w:footnote>
  <w:footnote w:id="66">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w:t>
      </w:r>
      <w:proofErr w:type="spellStart"/>
      <w:proofErr w:type="gramStart"/>
      <w:r w:rsidRPr="004870E4">
        <w:rPr>
          <w:i/>
          <w:sz w:val="18"/>
          <w:szCs w:val="18"/>
        </w:rPr>
        <w:t>McGalliard</w:t>
      </w:r>
      <w:proofErr w:type="spellEnd"/>
      <w:r w:rsidRPr="004870E4">
        <w:rPr>
          <w:i/>
          <w:sz w:val="18"/>
          <w:szCs w:val="18"/>
        </w:rPr>
        <w:t xml:space="preserve"> v. </w:t>
      </w:r>
      <w:proofErr w:type="spellStart"/>
      <w:r w:rsidRPr="004870E4">
        <w:rPr>
          <w:i/>
          <w:sz w:val="18"/>
          <w:szCs w:val="18"/>
        </w:rPr>
        <w:t>Kuhlmann</w:t>
      </w:r>
      <w:proofErr w:type="spellEnd"/>
      <w:r w:rsidRPr="004870E4">
        <w:rPr>
          <w:sz w:val="18"/>
          <w:szCs w:val="18"/>
        </w:rPr>
        <w:t>, 722 S.W.2d 694, 696 (Tex.</w:t>
      </w:r>
      <w:r>
        <w:rPr>
          <w:sz w:val="18"/>
          <w:szCs w:val="18"/>
        </w:rPr>
        <w:t xml:space="preserve"> </w:t>
      </w:r>
      <w:r w:rsidRPr="004870E4">
        <w:rPr>
          <w:sz w:val="18"/>
          <w:szCs w:val="18"/>
        </w:rPr>
        <w:t>1986).</w:t>
      </w:r>
      <w:proofErr w:type="gramEnd"/>
    </w:p>
  </w:footnote>
  <w:footnote w:id="67">
    <w:p w:rsidR="00A5373C" w:rsidRPr="004870E4" w:rsidRDefault="00A5373C" w:rsidP="00A5373C">
      <w:pPr>
        <w:pStyle w:val="FootnoteText"/>
        <w:rPr>
          <w:sz w:val="18"/>
          <w:szCs w:val="18"/>
        </w:rPr>
      </w:pPr>
      <w:r w:rsidRPr="004870E4">
        <w:rPr>
          <w:rStyle w:val="FootnoteReference"/>
          <w:sz w:val="18"/>
          <w:szCs w:val="18"/>
        </w:rPr>
        <w:footnoteRef/>
      </w:r>
      <w:r w:rsidRPr="004870E4">
        <w:rPr>
          <w:sz w:val="18"/>
          <w:szCs w:val="18"/>
        </w:rPr>
        <w:t xml:space="preserve"> Tex. R. Civ. P. 262.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D3C"/>
    <w:multiLevelType w:val="hybridMultilevel"/>
    <w:tmpl w:val="B9D8086E"/>
    <w:lvl w:ilvl="0" w:tplc="03341D74">
      <w:start w:val="1"/>
      <w:numFmt w:val="bullet"/>
      <w:pStyle w:val="BulletsTop"/>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
    <w:nsid w:val="34EF664A"/>
    <w:multiLevelType w:val="hybridMultilevel"/>
    <w:tmpl w:val="C2086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982FFD"/>
    <w:multiLevelType w:val="hybridMultilevel"/>
    <w:tmpl w:val="72909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CD50DD"/>
    <w:multiLevelType w:val="hybridMultilevel"/>
    <w:tmpl w:val="C860C37C"/>
    <w:lvl w:ilvl="0" w:tplc="E5EAC89E">
      <w:start w:val="1"/>
      <w:numFmt w:val="bullet"/>
      <w:pStyle w:val="BulletsNoSpace"/>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nsid w:val="78F10BF2"/>
    <w:multiLevelType w:val="hybridMultilevel"/>
    <w:tmpl w:val="05BAF0CE"/>
    <w:lvl w:ilvl="0" w:tplc="5978B422">
      <w:start w:val="1"/>
      <w:numFmt w:val="bullet"/>
      <w:pStyle w:val="BulletsBottom"/>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3C"/>
    <w:rsid w:val="004071C1"/>
    <w:rsid w:val="0060433D"/>
    <w:rsid w:val="00641324"/>
    <w:rsid w:val="009D214B"/>
    <w:rsid w:val="00A5373C"/>
    <w:rsid w:val="00A723ED"/>
    <w:rsid w:val="00CA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3C"/>
    <w:pPr>
      <w:widowControl w:val="0"/>
      <w:suppressAutoHyphens/>
      <w:autoSpaceDE w:val="0"/>
      <w:autoSpaceDN w:val="0"/>
      <w:adjustRightInd w:val="0"/>
      <w:spacing w:after="0" w:line="260" w:lineRule="atLeast"/>
      <w:ind w:firstLine="240"/>
      <w:jc w:val="both"/>
      <w:textAlignment w:val="center"/>
    </w:pPr>
    <w:rPr>
      <w:rFonts w:ascii="Times New Roman" w:eastAsiaTheme="minorEastAsia"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3C"/>
    <w:pPr>
      <w:ind w:left="720"/>
      <w:contextualSpacing/>
    </w:pPr>
  </w:style>
  <w:style w:type="paragraph" w:styleId="FootnoteText">
    <w:name w:val="footnote text"/>
    <w:basedOn w:val="Normal"/>
    <w:link w:val="FootnoteTextChar"/>
    <w:uiPriority w:val="99"/>
    <w:rsid w:val="00A5373C"/>
    <w:pPr>
      <w:tabs>
        <w:tab w:val="left" w:pos="360"/>
      </w:tabs>
      <w:spacing w:before="40" w:line="170" w:lineRule="atLeast"/>
    </w:pPr>
    <w:rPr>
      <w:sz w:val="16"/>
      <w:szCs w:val="16"/>
    </w:rPr>
  </w:style>
  <w:style w:type="character" w:customStyle="1" w:styleId="FootnoteTextChar">
    <w:name w:val="Footnote Text Char"/>
    <w:basedOn w:val="DefaultParagraphFont"/>
    <w:link w:val="FootnoteText"/>
    <w:uiPriority w:val="99"/>
    <w:rsid w:val="00A5373C"/>
    <w:rPr>
      <w:rFonts w:ascii="Times New Roman" w:eastAsiaTheme="minorEastAsia" w:hAnsi="Times New Roman" w:cs="Times New Roman"/>
      <w:color w:val="000000"/>
      <w:sz w:val="16"/>
      <w:szCs w:val="16"/>
    </w:rPr>
  </w:style>
  <w:style w:type="character" w:styleId="FootnoteReference">
    <w:name w:val="footnote reference"/>
    <w:basedOn w:val="DefaultParagraphFont"/>
    <w:uiPriority w:val="99"/>
    <w:rsid w:val="00A5373C"/>
    <w:rPr>
      <w:b/>
      <w:color w:val="FF00FF"/>
      <w:sz w:val="24"/>
      <w:vertAlign w:val="superscript"/>
    </w:rPr>
  </w:style>
  <w:style w:type="paragraph" w:customStyle="1" w:styleId="BulletsBottom">
    <w:name w:val="Bullets Bottom"/>
    <w:basedOn w:val="Normal"/>
    <w:rsid w:val="00A5373C"/>
    <w:pPr>
      <w:numPr>
        <w:numId w:val="3"/>
      </w:numPr>
      <w:spacing w:after="40"/>
      <w:ind w:right="432"/>
    </w:pPr>
  </w:style>
  <w:style w:type="paragraph" w:customStyle="1" w:styleId="BulletsNoSpace">
    <w:name w:val="Bullets No Space"/>
    <w:basedOn w:val="Normal"/>
    <w:rsid w:val="00A5373C"/>
    <w:pPr>
      <w:numPr>
        <w:numId w:val="4"/>
      </w:numPr>
      <w:ind w:right="432"/>
    </w:pPr>
  </w:style>
  <w:style w:type="paragraph" w:customStyle="1" w:styleId="BulletsTop">
    <w:name w:val="Bullets Top"/>
    <w:basedOn w:val="Normal"/>
    <w:rsid w:val="00A5373C"/>
    <w:pPr>
      <w:numPr>
        <w:numId w:val="5"/>
      </w:numPr>
      <w:spacing w:before="40"/>
      <w:ind w:right="432"/>
    </w:pPr>
  </w:style>
  <w:style w:type="paragraph" w:customStyle="1" w:styleId="ChapterTitle">
    <w:name w:val="Chapter Title"/>
    <w:basedOn w:val="Normal"/>
    <w:rsid w:val="00A5373C"/>
    <w:pPr>
      <w:spacing w:after="280"/>
      <w:ind w:firstLine="0"/>
      <w:jc w:val="left"/>
    </w:pPr>
    <w:rPr>
      <w:spacing w:val="-5"/>
      <w:sz w:val="48"/>
      <w:szCs w:val="48"/>
    </w:rPr>
  </w:style>
  <w:style w:type="paragraph" w:customStyle="1" w:styleId="HeadA">
    <w:name w:val="Head A"/>
    <w:basedOn w:val="Normal"/>
    <w:qFormat/>
    <w:rsid w:val="00A5373C"/>
    <w:pPr>
      <w:keepNext/>
      <w:keepLines/>
      <w:tabs>
        <w:tab w:val="left" w:pos="900"/>
      </w:tabs>
      <w:spacing w:before="240" w:line="280" w:lineRule="atLeast"/>
      <w:ind w:left="900" w:hanging="900"/>
      <w:jc w:val="left"/>
    </w:pPr>
    <w:rPr>
      <w:b/>
      <w:bCs/>
      <w:caps/>
    </w:rPr>
  </w:style>
  <w:style w:type="paragraph" w:customStyle="1" w:styleId="Chapter">
    <w:name w:val="Chapter #"/>
    <w:basedOn w:val="Normal"/>
    <w:rsid w:val="00A5373C"/>
    <w:pPr>
      <w:tabs>
        <w:tab w:val="right" w:pos="6120"/>
      </w:tabs>
      <w:spacing w:after="600" w:line="520" w:lineRule="atLeast"/>
      <w:ind w:firstLine="0"/>
      <w:jc w:val="left"/>
    </w:pPr>
    <w:rPr>
      <w:rFonts w:ascii="PalatinoLTStd-Roman" w:hAnsi="PalatinoLTStd-Roman" w:cs="PalatinoLTStd-Roman"/>
      <w:position w:val="60"/>
      <w:sz w:val="48"/>
      <w:szCs w:val="48"/>
      <w:u w:val="thick"/>
    </w:rPr>
  </w:style>
  <w:style w:type="paragraph" w:customStyle="1" w:styleId="HeadBNoSpace">
    <w:name w:val="Head B No Space"/>
    <w:basedOn w:val="Normal"/>
    <w:next w:val="Normal"/>
    <w:rsid w:val="00A5373C"/>
    <w:pPr>
      <w:keepNext/>
      <w:keepLines/>
      <w:tabs>
        <w:tab w:val="left" w:pos="900"/>
      </w:tabs>
      <w:spacing w:line="280" w:lineRule="atLeast"/>
      <w:ind w:left="900" w:hanging="900"/>
      <w:jc w:val="lef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3C"/>
    <w:pPr>
      <w:widowControl w:val="0"/>
      <w:suppressAutoHyphens/>
      <w:autoSpaceDE w:val="0"/>
      <w:autoSpaceDN w:val="0"/>
      <w:adjustRightInd w:val="0"/>
      <w:spacing w:after="0" w:line="260" w:lineRule="atLeast"/>
      <w:ind w:firstLine="240"/>
      <w:jc w:val="both"/>
      <w:textAlignment w:val="center"/>
    </w:pPr>
    <w:rPr>
      <w:rFonts w:ascii="Times New Roman" w:eastAsiaTheme="minorEastAsia"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3C"/>
    <w:pPr>
      <w:ind w:left="720"/>
      <w:contextualSpacing/>
    </w:pPr>
  </w:style>
  <w:style w:type="paragraph" w:styleId="FootnoteText">
    <w:name w:val="footnote text"/>
    <w:basedOn w:val="Normal"/>
    <w:link w:val="FootnoteTextChar"/>
    <w:uiPriority w:val="99"/>
    <w:rsid w:val="00A5373C"/>
    <w:pPr>
      <w:tabs>
        <w:tab w:val="left" w:pos="360"/>
      </w:tabs>
      <w:spacing w:before="40" w:line="170" w:lineRule="atLeast"/>
    </w:pPr>
    <w:rPr>
      <w:sz w:val="16"/>
      <w:szCs w:val="16"/>
    </w:rPr>
  </w:style>
  <w:style w:type="character" w:customStyle="1" w:styleId="FootnoteTextChar">
    <w:name w:val="Footnote Text Char"/>
    <w:basedOn w:val="DefaultParagraphFont"/>
    <w:link w:val="FootnoteText"/>
    <w:uiPriority w:val="99"/>
    <w:rsid w:val="00A5373C"/>
    <w:rPr>
      <w:rFonts w:ascii="Times New Roman" w:eastAsiaTheme="minorEastAsia" w:hAnsi="Times New Roman" w:cs="Times New Roman"/>
      <w:color w:val="000000"/>
      <w:sz w:val="16"/>
      <w:szCs w:val="16"/>
    </w:rPr>
  </w:style>
  <w:style w:type="character" w:styleId="FootnoteReference">
    <w:name w:val="footnote reference"/>
    <w:basedOn w:val="DefaultParagraphFont"/>
    <w:uiPriority w:val="99"/>
    <w:rsid w:val="00A5373C"/>
    <w:rPr>
      <w:b/>
      <w:color w:val="FF00FF"/>
      <w:sz w:val="24"/>
      <w:vertAlign w:val="superscript"/>
    </w:rPr>
  </w:style>
  <w:style w:type="paragraph" w:customStyle="1" w:styleId="BulletsBottom">
    <w:name w:val="Bullets Bottom"/>
    <w:basedOn w:val="Normal"/>
    <w:rsid w:val="00A5373C"/>
    <w:pPr>
      <w:numPr>
        <w:numId w:val="3"/>
      </w:numPr>
      <w:spacing w:after="40"/>
      <w:ind w:right="432"/>
    </w:pPr>
  </w:style>
  <w:style w:type="paragraph" w:customStyle="1" w:styleId="BulletsNoSpace">
    <w:name w:val="Bullets No Space"/>
    <w:basedOn w:val="Normal"/>
    <w:rsid w:val="00A5373C"/>
    <w:pPr>
      <w:numPr>
        <w:numId w:val="4"/>
      </w:numPr>
      <w:ind w:right="432"/>
    </w:pPr>
  </w:style>
  <w:style w:type="paragraph" w:customStyle="1" w:styleId="BulletsTop">
    <w:name w:val="Bullets Top"/>
    <w:basedOn w:val="Normal"/>
    <w:rsid w:val="00A5373C"/>
    <w:pPr>
      <w:numPr>
        <w:numId w:val="5"/>
      </w:numPr>
      <w:spacing w:before="40"/>
      <w:ind w:right="432"/>
    </w:pPr>
  </w:style>
  <w:style w:type="paragraph" w:customStyle="1" w:styleId="ChapterTitle">
    <w:name w:val="Chapter Title"/>
    <w:basedOn w:val="Normal"/>
    <w:rsid w:val="00A5373C"/>
    <w:pPr>
      <w:spacing w:after="280"/>
      <w:ind w:firstLine="0"/>
      <w:jc w:val="left"/>
    </w:pPr>
    <w:rPr>
      <w:spacing w:val="-5"/>
      <w:sz w:val="48"/>
      <w:szCs w:val="48"/>
    </w:rPr>
  </w:style>
  <w:style w:type="paragraph" w:customStyle="1" w:styleId="HeadA">
    <w:name w:val="Head A"/>
    <w:basedOn w:val="Normal"/>
    <w:qFormat/>
    <w:rsid w:val="00A5373C"/>
    <w:pPr>
      <w:keepNext/>
      <w:keepLines/>
      <w:tabs>
        <w:tab w:val="left" w:pos="900"/>
      </w:tabs>
      <w:spacing w:before="240" w:line="280" w:lineRule="atLeast"/>
      <w:ind w:left="900" w:hanging="900"/>
      <w:jc w:val="left"/>
    </w:pPr>
    <w:rPr>
      <w:b/>
      <w:bCs/>
      <w:caps/>
    </w:rPr>
  </w:style>
  <w:style w:type="paragraph" w:customStyle="1" w:styleId="Chapter">
    <w:name w:val="Chapter #"/>
    <w:basedOn w:val="Normal"/>
    <w:rsid w:val="00A5373C"/>
    <w:pPr>
      <w:tabs>
        <w:tab w:val="right" w:pos="6120"/>
      </w:tabs>
      <w:spacing w:after="600" w:line="520" w:lineRule="atLeast"/>
      <w:ind w:firstLine="0"/>
      <w:jc w:val="left"/>
    </w:pPr>
    <w:rPr>
      <w:rFonts w:ascii="PalatinoLTStd-Roman" w:hAnsi="PalatinoLTStd-Roman" w:cs="PalatinoLTStd-Roman"/>
      <w:position w:val="60"/>
      <w:sz w:val="48"/>
      <w:szCs w:val="48"/>
      <w:u w:val="thick"/>
    </w:rPr>
  </w:style>
  <w:style w:type="paragraph" w:customStyle="1" w:styleId="HeadBNoSpace">
    <w:name w:val="Head B No Space"/>
    <w:basedOn w:val="Normal"/>
    <w:next w:val="Normal"/>
    <w:rsid w:val="00A5373C"/>
    <w:pPr>
      <w:keepNext/>
      <w:keepLines/>
      <w:tabs>
        <w:tab w:val="left" w:pos="900"/>
      </w:tabs>
      <w:spacing w:line="280" w:lineRule="atLeast"/>
      <w:ind w:left="900" w:hanging="900"/>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4344</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American Lawyer Media</Company>
  <LinksUpToDate>false</LinksUpToDate>
  <CharactersWithSpaces>29053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LeValley</dc:creator>
  <cp:lastModifiedBy>Donna LeValley</cp:lastModifiedBy>
  <cp:revision>2</cp:revision>
  <dcterms:created xsi:type="dcterms:W3CDTF">2015-07-06T19:18:00Z</dcterms:created>
  <dcterms:modified xsi:type="dcterms:W3CDTF">2015-07-09T18:31:00Z</dcterms:modified>
</cp:coreProperties>
</file>